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8F4E" w14:textId="7AC15C87" w:rsidR="002621B2" w:rsidRDefault="002621B2" w:rsidP="002621B2">
      <w:pPr>
        <w:spacing w:after="0" w:line="240" w:lineRule="auto"/>
        <w:rPr>
          <w:rFonts w:ascii="Arial" w:eastAsia="Arial" w:hAnsi="Arial" w:cs="Arial"/>
          <w:b/>
          <w:bCs/>
          <w:color w:val="002365"/>
          <w:sz w:val="36"/>
          <w:szCs w:val="36"/>
        </w:rPr>
      </w:pPr>
      <w:r>
        <w:rPr>
          <w:rFonts w:ascii="Arial" w:eastAsia="Arial" w:hAnsi="Arial" w:cs="Arial"/>
          <w:b/>
          <w:bCs/>
          <w:noProof/>
          <w:color w:val="003087"/>
          <w:sz w:val="28"/>
          <w:szCs w:val="28"/>
        </w:rPr>
        <mc:AlternateContent>
          <mc:Choice Requires="wps">
            <w:drawing>
              <wp:anchor distT="0" distB="0" distL="114300" distR="114300" simplePos="0" relativeHeight="251659264" behindDoc="0" locked="0" layoutInCell="1" allowOverlap="1" wp14:anchorId="50DEFDC9" wp14:editId="15BAF5F1">
                <wp:simplePos x="0" y="0"/>
                <wp:positionH relativeFrom="margin">
                  <wp:posOffset>-124691</wp:posOffset>
                </wp:positionH>
                <wp:positionV relativeFrom="paragraph">
                  <wp:posOffset>334415</wp:posOffset>
                </wp:positionV>
                <wp:extent cx="5924550" cy="976226"/>
                <wp:effectExtent l="0" t="0" r="19050" b="14605"/>
                <wp:wrapNone/>
                <wp:docPr id="13" name="Rectangle: Rounded Corners 13"/>
                <wp:cNvGraphicFramePr/>
                <a:graphic xmlns:a="http://schemas.openxmlformats.org/drawingml/2006/main">
                  <a:graphicData uri="http://schemas.microsoft.com/office/word/2010/wordprocessingShape">
                    <wps:wsp>
                      <wps:cNvSpPr/>
                      <wps:spPr>
                        <a:xfrm>
                          <a:off x="0" y="0"/>
                          <a:ext cx="5924550" cy="97622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0A7D4" id="Rectangle: Rounded Corners 13" o:spid="_x0000_s1026" style="position:absolute;margin-left:-9.8pt;margin-top:26.35pt;width:466.5pt;height:7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" filled="f" strokecolor="#1f3763 [1604]" strokeweight="1pt">
                <v:stroke joinstyle="miter"/>
                <w10:wrap anchorx="margin"/>
              </v:roundrect>
            </w:pict>
          </mc:Fallback>
        </mc:AlternateContent>
      </w:r>
      <w:r>
        <w:rPr>
          <w:rFonts w:ascii="Arial" w:eastAsia="Arial" w:hAnsi="Arial" w:cs="Arial"/>
          <w:b/>
          <w:bCs/>
          <w:color w:val="002365"/>
          <w:sz w:val="36"/>
          <w:szCs w:val="36"/>
        </w:rPr>
        <w:t xml:space="preserve">PDS Annual Review </w:t>
      </w:r>
      <w:r w:rsidRPr="00952516">
        <w:rPr>
          <w:rFonts w:ascii="Arial" w:eastAsia="Arial" w:hAnsi="Arial" w:cs="Arial"/>
          <w:b/>
          <w:bCs/>
          <w:color w:val="002365"/>
          <w:sz w:val="36"/>
          <w:szCs w:val="36"/>
        </w:rPr>
        <w:t>Executive Summary</w:t>
      </w:r>
    </w:p>
    <w:p w14:paraId="13A56E91" w14:textId="77777777" w:rsidR="002621B2" w:rsidRDefault="002621B2" w:rsidP="002621B2">
      <w:pPr>
        <w:spacing w:line="240" w:lineRule="auto"/>
        <w:ind w:right="140"/>
        <w:jc w:val="both"/>
        <w:rPr>
          <w:rFonts w:ascii="Arial" w:eastAsia="Arial" w:hAnsi="Arial" w:cs="Arial"/>
          <w:b/>
          <w:bCs/>
          <w:color w:val="003087"/>
          <w:sz w:val="28"/>
          <w:szCs w:val="28"/>
        </w:rPr>
      </w:pPr>
    </w:p>
    <w:p w14:paraId="4C8F723D" w14:textId="77777777" w:rsidR="002621B2" w:rsidRDefault="002621B2" w:rsidP="002621B2">
      <w:pPr>
        <w:spacing w:line="240" w:lineRule="auto"/>
        <w:ind w:right="140"/>
        <w:jc w:val="both"/>
        <w:rPr>
          <w:rFonts w:ascii="Arial" w:eastAsia="Arial" w:hAnsi="Arial" w:cs="Arial"/>
          <w:b/>
          <w:bCs/>
          <w:color w:val="003087"/>
          <w:sz w:val="28"/>
          <w:szCs w:val="28"/>
        </w:rPr>
      </w:pPr>
      <w:r w:rsidRPr="00952516">
        <w:rPr>
          <w:rFonts w:ascii="Arial" w:eastAsia="Arial" w:hAnsi="Arial" w:cs="Arial"/>
          <w:b/>
          <w:bCs/>
          <w:color w:val="003087"/>
          <w:sz w:val="28"/>
          <w:szCs w:val="28"/>
        </w:rPr>
        <w:t xml:space="preserve">This Annual Review reports activity and performance </w:t>
      </w:r>
      <w:r>
        <w:rPr>
          <w:rFonts w:ascii="Arial" w:eastAsia="Arial" w:hAnsi="Arial" w:cs="Arial"/>
          <w:b/>
          <w:bCs/>
          <w:color w:val="003087"/>
          <w:sz w:val="28"/>
          <w:szCs w:val="28"/>
        </w:rPr>
        <w:t>of</w:t>
      </w:r>
      <w:r w:rsidRPr="00952516">
        <w:rPr>
          <w:rFonts w:ascii="Arial" w:eastAsia="Arial" w:hAnsi="Arial" w:cs="Arial"/>
          <w:b/>
          <w:bCs/>
          <w:color w:val="003087"/>
          <w:sz w:val="28"/>
          <w:szCs w:val="28"/>
        </w:rPr>
        <w:t xml:space="preserve"> the Regional Pathway Development Service (PDS) for </w:t>
      </w:r>
      <w:r>
        <w:rPr>
          <w:rFonts w:ascii="Arial" w:eastAsia="Arial" w:hAnsi="Arial" w:cs="Arial"/>
          <w:b/>
          <w:bCs/>
          <w:color w:val="003087"/>
          <w:sz w:val="28"/>
          <w:szCs w:val="28"/>
        </w:rPr>
        <w:t xml:space="preserve">the </w:t>
      </w:r>
      <w:r w:rsidRPr="00952516">
        <w:rPr>
          <w:rFonts w:ascii="Arial" w:eastAsia="Arial" w:hAnsi="Arial" w:cs="Arial"/>
          <w:b/>
          <w:bCs/>
          <w:color w:val="003087"/>
          <w:sz w:val="28"/>
          <w:szCs w:val="28"/>
        </w:rPr>
        <w:t>financial year 2021-2022</w:t>
      </w:r>
    </w:p>
    <w:p w14:paraId="361E6587" w14:textId="77777777" w:rsidR="002621B2" w:rsidRPr="003F5641" w:rsidRDefault="002621B2" w:rsidP="002621B2">
      <w:pPr>
        <w:spacing w:line="240" w:lineRule="auto"/>
        <w:ind w:right="140"/>
        <w:jc w:val="both"/>
        <w:rPr>
          <w:rFonts w:ascii="Arial" w:eastAsia="Arial" w:hAnsi="Arial" w:cs="Arial"/>
          <w:b/>
          <w:bCs/>
          <w:color w:val="003087"/>
          <w:sz w:val="32"/>
          <w:szCs w:val="32"/>
        </w:rPr>
      </w:pPr>
    </w:p>
    <w:p w14:paraId="4729BDF1" w14:textId="77777777" w:rsidR="002621B2" w:rsidRPr="003F5641" w:rsidRDefault="002621B2" w:rsidP="002621B2">
      <w:pPr>
        <w:spacing w:line="240" w:lineRule="auto"/>
        <w:rPr>
          <w:rFonts w:ascii="Arial" w:eastAsia="Arial" w:hAnsi="Arial" w:cs="Arial"/>
          <w:b/>
          <w:bCs/>
          <w:sz w:val="36"/>
          <w:szCs w:val="36"/>
          <w:u w:val="single"/>
        </w:rPr>
      </w:pPr>
      <w:r w:rsidRPr="003F5641">
        <w:rPr>
          <w:rFonts w:ascii="Arial" w:eastAsia="Arial" w:hAnsi="Arial" w:cs="Arial"/>
          <w:b/>
          <w:bCs/>
          <w:sz w:val="36"/>
          <w:szCs w:val="36"/>
          <w:u w:val="single"/>
        </w:rPr>
        <w:t>Referrals</w:t>
      </w:r>
    </w:p>
    <w:p w14:paraId="27688E7C" w14:textId="77777777" w:rsidR="002621B2" w:rsidRDefault="002621B2" w:rsidP="002621B2">
      <w:pPr>
        <w:spacing w:line="240" w:lineRule="auto"/>
        <w:rPr>
          <w:sz w:val="20"/>
          <w:szCs w:val="20"/>
        </w:rPr>
      </w:pPr>
    </w:p>
    <w:p w14:paraId="712EECE8" w14:textId="77777777" w:rsidR="002621B2" w:rsidRPr="00BD2A51" w:rsidRDefault="002621B2" w:rsidP="002621B2">
      <w:pPr>
        <w:pStyle w:val="ListParagraph"/>
        <w:numPr>
          <w:ilvl w:val="0"/>
          <w:numId w:val="1"/>
        </w:numPr>
        <w:spacing w:line="240" w:lineRule="auto"/>
        <w:jc w:val="both"/>
        <w:rPr>
          <w:sz w:val="24"/>
          <w:szCs w:val="24"/>
        </w:rPr>
      </w:pPr>
      <w:r>
        <w:rPr>
          <w:rFonts w:ascii="Arial" w:eastAsia="Arial" w:hAnsi="Arial" w:cs="Arial"/>
          <w:sz w:val="24"/>
          <w:szCs w:val="24"/>
        </w:rPr>
        <w:t xml:space="preserve">The PDS received a total of </w:t>
      </w:r>
      <w:r>
        <w:rPr>
          <w:rFonts w:ascii="Arial" w:eastAsia="Arial" w:hAnsi="Arial" w:cs="Arial"/>
          <w:b/>
          <w:bCs/>
          <w:sz w:val="24"/>
          <w:szCs w:val="24"/>
        </w:rPr>
        <w:t>38 referrals</w:t>
      </w:r>
      <w:r>
        <w:rPr>
          <w:rFonts w:ascii="Arial" w:eastAsia="Arial" w:hAnsi="Arial" w:cs="Arial"/>
          <w:sz w:val="24"/>
          <w:szCs w:val="24"/>
        </w:rPr>
        <w:t xml:space="preserve">, of which </w:t>
      </w:r>
      <w:r>
        <w:rPr>
          <w:rFonts w:ascii="Arial" w:eastAsia="Arial" w:hAnsi="Arial" w:cs="Arial"/>
          <w:b/>
          <w:bCs/>
          <w:sz w:val="24"/>
          <w:szCs w:val="24"/>
        </w:rPr>
        <w:t>34 were accepted</w:t>
      </w:r>
      <w:r>
        <w:rPr>
          <w:rFonts w:ascii="Arial" w:eastAsia="Arial" w:hAnsi="Arial" w:cs="Arial"/>
          <w:sz w:val="24"/>
          <w:szCs w:val="24"/>
        </w:rPr>
        <w:t xml:space="preserve"> into the service, 22 of which resulted in PDS input. This is an increase in overall referrals and an increase in the number of accepted referrals from the previous year (2020-2021; 31 referrals with 26 accepted). </w:t>
      </w:r>
      <w:r>
        <w:rPr>
          <w:rFonts w:ascii="Arial" w:eastAsia="Arial" w:hAnsi="Arial" w:cs="Arial"/>
          <w:b/>
          <w:bCs/>
          <w:sz w:val="24"/>
          <w:szCs w:val="24"/>
        </w:rPr>
        <w:t xml:space="preserve">36% (n=11) </w:t>
      </w:r>
      <w:r>
        <w:rPr>
          <w:rFonts w:ascii="Arial" w:eastAsia="Arial" w:hAnsi="Arial" w:cs="Arial"/>
          <w:sz w:val="24"/>
          <w:szCs w:val="24"/>
        </w:rPr>
        <w:t xml:space="preserve">of accepted referrals were identified as having a </w:t>
      </w:r>
      <w:r>
        <w:rPr>
          <w:rFonts w:ascii="Arial" w:eastAsia="Arial" w:hAnsi="Arial" w:cs="Arial"/>
          <w:b/>
          <w:bCs/>
          <w:sz w:val="24"/>
          <w:szCs w:val="24"/>
        </w:rPr>
        <w:t>housing and resettlement</w:t>
      </w:r>
      <w:r>
        <w:rPr>
          <w:rFonts w:ascii="Arial" w:eastAsia="Arial" w:hAnsi="Arial" w:cs="Arial"/>
          <w:sz w:val="24"/>
          <w:szCs w:val="24"/>
        </w:rPr>
        <w:t xml:space="preserve"> </w:t>
      </w:r>
      <w:r>
        <w:rPr>
          <w:rFonts w:ascii="Arial" w:eastAsia="Arial" w:hAnsi="Arial" w:cs="Arial"/>
          <w:b/>
          <w:bCs/>
          <w:sz w:val="24"/>
          <w:szCs w:val="24"/>
        </w:rPr>
        <w:t xml:space="preserve">need </w:t>
      </w:r>
      <w:r>
        <w:rPr>
          <w:rFonts w:ascii="Arial" w:eastAsia="Arial" w:hAnsi="Arial" w:cs="Arial"/>
          <w:sz w:val="24"/>
          <w:szCs w:val="24"/>
        </w:rPr>
        <w:t>at the point of referral, which is a smaller proportion than 2020-2021 (40% identified).</w:t>
      </w:r>
    </w:p>
    <w:p w14:paraId="30437386" w14:textId="77777777" w:rsidR="002621B2" w:rsidRDefault="002621B2" w:rsidP="002621B2">
      <w:pPr>
        <w:pStyle w:val="ListParagraph"/>
        <w:spacing w:line="240" w:lineRule="auto"/>
        <w:jc w:val="both"/>
        <w:rPr>
          <w:sz w:val="24"/>
          <w:szCs w:val="24"/>
        </w:rPr>
      </w:pPr>
    </w:p>
    <w:p w14:paraId="26B39D3E" w14:textId="77777777" w:rsidR="002621B2" w:rsidRDefault="002621B2" w:rsidP="002621B2">
      <w:pPr>
        <w:pStyle w:val="ListParagraph"/>
        <w:numPr>
          <w:ilvl w:val="0"/>
          <w:numId w:val="1"/>
        </w:numPr>
        <w:spacing w:line="240" w:lineRule="auto"/>
        <w:jc w:val="both"/>
        <w:rPr>
          <w:sz w:val="24"/>
          <w:szCs w:val="24"/>
        </w:rPr>
      </w:pPr>
      <w:r>
        <w:rPr>
          <w:rFonts w:ascii="Arial" w:eastAsia="Arial" w:hAnsi="Arial" w:cs="Arial"/>
          <w:sz w:val="24"/>
          <w:szCs w:val="24"/>
        </w:rPr>
        <w:t>The majority of service users referred were female (n=26, 68%). In total 12 referrals were male (32%). The average age of all referrals was 29 years. Six referrals were aged between 16-18 years, a significant increase from the previous years (2020-21, n=3). 89% of service users referred identified as White British (n=29).</w:t>
      </w:r>
    </w:p>
    <w:p w14:paraId="53A42AE4" w14:textId="77777777" w:rsidR="002621B2" w:rsidRDefault="002621B2" w:rsidP="002621B2">
      <w:pPr>
        <w:pStyle w:val="ListParagraph"/>
        <w:spacing w:line="240" w:lineRule="auto"/>
        <w:rPr>
          <w:rFonts w:ascii="Arial" w:eastAsia="Arial" w:hAnsi="Arial" w:cs="Arial"/>
          <w:sz w:val="24"/>
          <w:szCs w:val="24"/>
        </w:rPr>
      </w:pPr>
    </w:p>
    <w:p w14:paraId="5C0E3EB9" w14:textId="77777777" w:rsidR="002621B2" w:rsidRPr="00BD2A51" w:rsidRDefault="002621B2" w:rsidP="002621B2">
      <w:pPr>
        <w:pStyle w:val="ListParagraph"/>
        <w:numPr>
          <w:ilvl w:val="0"/>
          <w:numId w:val="1"/>
        </w:numPr>
        <w:spacing w:line="240" w:lineRule="auto"/>
        <w:jc w:val="both"/>
        <w:rPr>
          <w:sz w:val="24"/>
          <w:szCs w:val="24"/>
        </w:rPr>
      </w:pPr>
      <w:r>
        <w:rPr>
          <w:rFonts w:ascii="Arial" w:eastAsia="Arial" w:hAnsi="Arial" w:cs="Arial"/>
          <w:sz w:val="24"/>
          <w:szCs w:val="24"/>
        </w:rPr>
        <w:t xml:space="preserve">Referrals came predominantly from Acute Wards, PICUs, Locked Rehabilitation Services and Low Secure Services. The majority of service users were referred by Doctors, Responsible Clinicians/Consultant Psychiatrists (26%), followed by Case Managers and Care Coordinators (10% each respectively). </w:t>
      </w:r>
      <w:r>
        <w:rPr>
          <w:rFonts w:ascii="Arial" w:eastAsia="Arial" w:hAnsi="Arial" w:cs="Arial"/>
          <w:b/>
          <w:bCs/>
          <w:sz w:val="24"/>
          <w:szCs w:val="24"/>
        </w:rPr>
        <w:t>29% (n=11)</w:t>
      </w:r>
      <w:r>
        <w:rPr>
          <w:rFonts w:ascii="Arial" w:eastAsia="Arial" w:hAnsi="Arial" w:cs="Arial"/>
          <w:sz w:val="24"/>
          <w:szCs w:val="24"/>
        </w:rPr>
        <w:t xml:space="preserve"> of service users were resident in a hospital </w:t>
      </w:r>
      <w:r>
        <w:rPr>
          <w:rFonts w:ascii="Arial" w:eastAsia="Arial" w:hAnsi="Arial" w:cs="Arial"/>
          <w:b/>
          <w:bCs/>
          <w:sz w:val="24"/>
          <w:szCs w:val="24"/>
        </w:rPr>
        <w:t>outside</w:t>
      </w:r>
      <w:r>
        <w:rPr>
          <w:rFonts w:ascii="Arial" w:eastAsia="Arial" w:hAnsi="Arial" w:cs="Arial"/>
          <w:sz w:val="24"/>
          <w:szCs w:val="24"/>
        </w:rPr>
        <w:t xml:space="preserve"> of the Yorkshire and Humberside region at the time of referral. This is an increase on 23% from the previous financial year. The greatest number of referrals came from the Doncaster CCG, followed by Leeds CCG.</w:t>
      </w:r>
    </w:p>
    <w:p w14:paraId="29892D81" w14:textId="77777777" w:rsidR="002621B2" w:rsidRPr="00BD2A51" w:rsidRDefault="002621B2" w:rsidP="002621B2">
      <w:pPr>
        <w:pStyle w:val="ListParagraph"/>
        <w:spacing w:line="240" w:lineRule="auto"/>
        <w:rPr>
          <w:sz w:val="24"/>
          <w:szCs w:val="24"/>
        </w:rPr>
      </w:pPr>
    </w:p>
    <w:p w14:paraId="0EA36FBB" w14:textId="77777777" w:rsidR="002621B2" w:rsidRPr="003F5641" w:rsidRDefault="002621B2" w:rsidP="002621B2">
      <w:pPr>
        <w:spacing w:after="0" w:line="240" w:lineRule="auto"/>
        <w:rPr>
          <w:rFonts w:ascii="Arial" w:eastAsia="Arial" w:hAnsi="Arial" w:cs="Arial"/>
          <w:b/>
          <w:bCs/>
          <w:sz w:val="36"/>
          <w:szCs w:val="36"/>
          <w:u w:val="single"/>
        </w:rPr>
      </w:pPr>
      <w:r w:rsidRPr="003F5641">
        <w:rPr>
          <w:rFonts w:ascii="Arial" w:eastAsia="Arial" w:hAnsi="Arial" w:cs="Arial"/>
          <w:b/>
          <w:bCs/>
          <w:sz w:val="36"/>
          <w:szCs w:val="36"/>
          <w:u w:val="single"/>
        </w:rPr>
        <w:t>Key Outcomes</w:t>
      </w:r>
    </w:p>
    <w:p w14:paraId="2F01FF73" w14:textId="77777777" w:rsidR="002621B2" w:rsidRPr="003F5641" w:rsidRDefault="002621B2" w:rsidP="002621B2">
      <w:pPr>
        <w:spacing w:after="0" w:line="240" w:lineRule="auto"/>
        <w:rPr>
          <w:rFonts w:ascii="Arial" w:eastAsia="Arial" w:hAnsi="Arial" w:cs="Arial"/>
          <w:b/>
          <w:bCs/>
          <w:sz w:val="36"/>
          <w:szCs w:val="36"/>
          <w:u w:val="single"/>
        </w:rPr>
      </w:pPr>
    </w:p>
    <w:p w14:paraId="7AB1A030" w14:textId="77777777" w:rsidR="002621B2" w:rsidRDefault="002621B2" w:rsidP="002621B2">
      <w:pPr>
        <w:pStyle w:val="ListParagraph"/>
        <w:numPr>
          <w:ilvl w:val="0"/>
          <w:numId w:val="2"/>
        </w:numPr>
        <w:spacing w:line="240" w:lineRule="auto"/>
        <w:jc w:val="both"/>
        <w:rPr>
          <w:rFonts w:ascii="Arial" w:eastAsia="Arial" w:hAnsi="Arial" w:cs="Arial"/>
          <w:b/>
          <w:bCs/>
          <w:sz w:val="24"/>
          <w:szCs w:val="24"/>
        </w:rPr>
      </w:pPr>
      <w:r>
        <w:rPr>
          <w:rFonts w:ascii="Arial" w:eastAsia="Arial" w:hAnsi="Arial" w:cs="Arial"/>
          <w:b/>
          <w:bCs/>
          <w:sz w:val="24"/>
          <w:szCs w:val="24"/>
        </w:rPr>
        <w:t xml:space="preserve">Hospital reviews: </w:t>
      </w:r>
      <w:r>
        <w:rPr>
          <w:rFonts w:ascii="Arial" w:eastAsia="Arial" w:hAnsi="Arial" w:cs="Arial"/>
          <w:sz w:val="24"/>
          <w:szCs w:val="24"/>
        </w:rPr>
        <w:t>24 hospital reviews were completed, 8 of which were carried out in conjunction with a Housing and Resettlement assessment.</w:t>
      </w:r>
    </w:p>
    <w:p w14:paraId="0B5B413C" w14:textId="77777777" w:rsidR="002621B2" w:rsidRDefault="002621B2" w:rsidP="002621B2">
      <w:pPr>
        <w:pStyle w:val="ListParagraph"/>
        <w:spacing w:line="240" w:lineRule="auto"/>
        <w:jc w:val="both"/>
        <w:rPr>
          <w:rFonts w:ascii="Arial" w:eastAsia="Arial" w:hAnsi="Arial" w:cs="Arial"/>
          <w:b/>
          <w:bCs/>
          <w:sz w:val="24"/>
          <w:szCs w:val="24"/>
        </w:rPr>
      </w:pPr>
    </w:p>
    <w:p w14:paraId="46E24E92" w14:textId="77777777" w:rsidR="002621B2" w:rsidRPr="00BD2A51" w:rsidRDefault="002621B2" w:rsidP="002621B2">
      <w:pPr>
        <w:pStyle w:val="ListParagraph"/>
        <w:numPr>
          <w:ilvl w:val="0"/>
          <w:numId w:val="2"/>
        </w:numPr>
        <w:spacing w:line="240" w:lineRule="auto"/>
        <w:jc w:val="both"/>
        <w:rPr>
          <w:rFonts w:ascii="Arial" w:eastAsia="Arial" w:hAnsi="Arial" w:cs="Arial"/>
          <w:b/>
          <w:bCs/>
          <w:sz w:val="24"/>
          <w:szCs w:val="24"/>
        </w:rPr>
      </w:pPr>
      <w:r w:rsidRPr="00BD2A51">
        <w:rPr>
          <w:rFonts w:ascii="Arial" w:eastAsia="Arial" w:hAnsi="Arial" w:cs="Arial"/>
          <w:b/>
          <w:bCs/>
          <w:sz w:val="24"/>
          <w:szCs w:val="24"/>
        </w:rPr>
        <w:t xml:space="preserve">Housing and Resettlement </w:t>
      </w:r>
      <w:r>
        <w:rPr>
          <w:rFonts w:ascii="Arial" w:eastAsia="Arial" w:hAnsi="Arial" w:cs="Arial"/>
          <w:b/>
          <w:bCs/>
          <w:sz w:val="24"/>
          <w:szCs w:val="24"/>
        </w:rPr>
        <w:t>work</w:t>
      </w:r>
      <w:r w:rsidRPr="00BD2A51">
        <w:rPr>
          <w:rFonts w:ascii="Arial" w:eastAsia="Arial" w:hAnsi="Arial" w:cs="Arial"/>
          <w:i/>
          <w:iCs/>
          <w:sz w:val="24"/>
          <w:szCs w:val="24"/>
        </w:rPr>
        <w:t xml:space="preserve">: </w:t>
      </w:r>
      <w:r w:rsidRPr="00BD2A51">
        <w:rPr>
          <w:rFonts w:ascii="Arial" w:eastAsia="Arial" w:hAnsi="Arial" w:cs="Arial"/>
          <w:sz w:val="24"/>
          <w:szCs w:val="24"/>
        </w:rPr>
        <w:t>11 housing review reports were completed during the last</w:t>
      </w:r>
      <w:r w:rsidRPr="00BD2A51">
        <w:rPr>
          <w:rFonts w:ascii="Arial" w:eastAsia="Arial" w:hAnsi="Arial" w:cs="Arial"/>
          <w:i/>
          <w:iCs/>
          <w:sz w:val="24"/>
          <w:szCs w:val="24"/>
        </w:rPr>
        <w:t xml:space="preserve"> </w:t>
      </w:r>
      <w:r w:rsidRPr="00BD2A51">
        <w:rPr>
          <w:rFonts w:ascii="Arial" w:eastAsia="Arial" w:hAnsi="Arial" w:cs="Arial"/>
          <w:sz w:val="24"/>
          <w:szCs w:val="24"/>
        </w:rPr>
        <w:t>financial year</w:t>
      </w:r>
      <w:r>
        <w:rPr>
          <w:rFonts w:ascii="Arial" w:eastAsia="Arial" w:hAnsi="Arial" w:cs="Arial"/>
          <w:sz w:val="24"/>
          <w:szCs w:val="24"/>
        </w:rPr>
        <w:t>;</w:t>
      </w:r>
      <w:r w:rsidRPr="00BD2A51">
        <w:rPr>
          <w:rFonts w:ascii="Arial" w:eastAsia="Arial" w:hAnsi="Arial" w:cs="Arial"/>
          <w:sz w:val="24"/>
          <w:szCs w:val="24"/>
        </w:rPr>
        <w:t xml:space="preserve"> 53 Housing and Resettlement sessions for mapping, brokerage workshops and consultation meetings took place</w:t>
      </w:r>
      <w:r>
        <w:rPr>
          <w:rFonts w:ascii="Arial" w:eastAsia="Arial" w:hAnsi="Arial" w:cs="Arial"/>
          <w:sz w:val="24"/>
          <w:szCs w:val="24"/>
        </w:rPr>
        <w:t>.</w:t>
      </w:r>
    </w:p>
    <w:p w14:paraId="72ED2495" w14:textId="77777777" w:rsidR="002621B2" w:rsidRPr="002E3AAA" w:rsidRDefault="002621B2" w:rsidP="002621B2">
      <w:pPr>
        <w:pStyle w:val="ListParagraph"/>
        <w:spacing w:line="240" w:lineRule="auto"/>
        <w:ind w:right="20"/>
        <w:jc w:val="both"/>
        <w:rPr>
          <w:sz w:val="24"/>
          <w:szCs w:val="24"/>
        </w:rPr>
      </w:pPr>
    </w:p>
    <w:p w14:paraId="0EA15767" w14:textId="77777777" w:rsidR="002621B2" w:rsidRDefault="002621B2" w:rsidP="002621B2">
      <w:pPr>
        <w:pStyle w:val="ListParagraph"/>
        <w:numPr>
          <w:ilvl w:val="0"/>
          <w:numId w:val="3"/>
        </w:numPr>
        <w:spacing w:line="240" w:lineRule="auto"/>
        <w:ind w:right="20"/>
        <w:jc w:val="both"/>
        <w:rPr>
          <w:sz w:val="24"/>
          <w:szCs w:val="24"/>
        </w:rPr>
      </w:pPr>
      <w:r>
        <w:rPr>
          <w:rFonts w:ascii="Arial" w:eastAsia="Arial" w:hAnsi="Arial" w:cs="Arial"/>
          <w:b/>
          <w:bCs/>
          <w:sz w:val="24"/>
          <w:szCs w:val="24"/>
        </w:rPr>
        <w:t>Training:</w:t>
      </w:r>
      <w:r>
        <w:rPr>
          <w:rFonts w:ascii="Arial" w:eastAsia="Arial" w:hAnsi="Arial" w:cs="Arial"/>
          <w:sz w:val="24"/>
          <w:szCs w:val="24"/>
        </w:rPr>
        <w:t xml:space="preserve"> The PDS Community Links members of the team co-facilitated with an Expert by</w:t>
      </w:r>
      <w:r>
        <w:rPr>
          <w:rFonts w:ascii="Arial" w:eastAsia="Arial" w:hAnsi="Arial" w:cs="Arial"/>
          <w:i/>
          <w:iCs/>
          <w:sz w:val="24"/>
          <w:szCs w:val="24"/>
        </w:rPr>
        <w:t xml:space="preserve"> </w:t>
      </w:r>
      <w:r>
        <w:rPr>
          <w:rFonts w:ascii="Arial" w:eastAsia="Arial" w:hAnsi="Arial" w:cs="Arial"/>
          <w:sz w:val="24"/>
          <w:szCs w:val="24"/>
        </w:rPr>
        <w:t>Experience (EBE) seven cohorts of Personality Disorder Knowledge &amp; Understanding Framework (KUF) Awareness Training. These were virtual training sessions.</w:t>
      </w:r>
    </w:p>
    <w:p w14:paraId="5EA2B3DA" w14:textId="77777777" w:rsidR="002621B2" w:rsidRDefault="002621B2" w:rsidP="002621B2">
      <w:pPr>
        <w:spacing w:line="240" w:lineRule="auto"/>
        <w:jc w:val="both"/>
        <w:rPr>
          <w:sz w:val="24"/>
          <w:szCs w:val="24"/>
          <w:highlight w:val="yellow"/>
        </w:rPr>
      </w:pPr>
    </w:p>
    <w:p w14:paraId="22DA9D32" w14:textId="77777777" w:rsidR="002621B2" w:rsidRPr="003F5641" w:rsidRDefault="002621B2" w:rsidP="002621B2">
      <w:pPr>
        <w:pStyle w:val="ListParagraph"/>
        <w:spacing w:line="240" w:lineRule="auto"/>
        <w:ind w:right="80"/>
        <w:jc w:val="both"/>
        <w:rPr>
          <w:rFonts w:ascii="Times New Roman" w:hAnsi="Times New Roman" w:cs="Times New Roman"/>
          <w:sz w:val="24"/>
          <w:szCs w:val="24"/>
        </w:rPr>
      </w:pPr>
    </w:p>
    <w:p w14:paraId="37CD4954" w14:textId="77777777" w:rsidR="002621B2" w:rsidRPr="003F5641" w:rsidRDefault="002621B2" w:rsidP="002621B2">
      <w:pPr>
        <w:pStyle w:val="ListParagraph"/>
        <w:spacing w:line="240" w:lineRule="auto"/>
        <w:rPr>
          <w:rFonts w:ascii="Arial" w:eastAsia="Arial" w:hAnsi="Arial" w:cs="Arial"/>
          <w:b/>
          <w:bCs/>
          <w:sz w:val="24"/>
          <w:szCs w:val="24"/>
        </w:rPr>
      </w:pPr>
    </w:p>
    <w:p w14:paraId="5982DDE7" w14:textId="77777777" w:rsidR="002621B2" w:rsidRDefault="002621B2" w:rsidP="002621B2">
      <w:pPr>
        <w:pStyle w:val="ListParagraph"/>
        <w:numPr>
          <w:ilvl w:val="0"/>
          <w:numId w:val="3"/>
        </w:numPr>
        <w:spacing w:line="240" w:lineRule="auto"/>
        <w:ind w:right="80"/>
        <w:jc w:val="both"/>
        <w:rPr>
          <w:sz w:val="24"/>
          <w:szCs w:val="24"/>
        </w:rPr>
      </w:pPr>
      <w:r>
        <w:rPr>
          <w:rFonts w:ascii="Arial" w:eastAsia="Arial" w:hAnsi="Arial" w:cs="Arial"/>
          <w:b/>
          <w:bCs/>
          <w:sz w:val="24"/>
          <w:szCs w:val="24"/>
        </w:rPr>
        <w:t>Service User Involvement</w:t>
      </w:r>
      <w:r>
        <w:rPr>
          <w:rFonts w:ascii="Arial" w:eastAsia="Arial" w:hAnsi="Arial" w:cs="Arial"/>
          <w:i/>
          <w:iCs/>
          <w:sz w:val="24"/>
          <w:szCs w:val="24"/>
        </w:rPr>
        <w:t xml:space="preserve">: </w:t>
      </w:r>
      <w:r>
        <w:rPr>
          <w:rFonts w:ascii="Arial" w:eastAsia="Arial" w:hAnsi="Arial" w:cs="Arial"/>
          <w:sz w:val="24"/>
          <w:szCs w:val="24"/>
        </w:rPr>
        <w:t>Service user involvement has focussed on involvement in the recruitment process and ongoing consultation and contact with the Yorkshire and Humber Involvement Network.</w:t>
      </w:r>
    </w:p>
    <w:p w14:paraId="0C87BE37" w14:textId="77777777" w:rsidR="002621B2" w:rsidRDefault="002621B2" w:rsidP="002621B2">
      <w:pPr>
        <w:spacing w:line="240" w:lineRule="auto"/>
        <w:jc w:val="both"/>
        <w:rPr>
          <w:sz w:val="24"/>
          <w:szCs w:val="24"/>
        </w:rPr>
      </w:pPr>
    </w:p>
    <w:p w14:paraId="4E98E88B" w14:textId="77777777" w:rsidR="002621B2" w:rsidRDefault="002621B2" w:rsidP="002621B2">
      <w:pPr>
        <w:pStyle w:val="ListParagraph"/>
        <w:numPr>
          <w:ilvl w:val="0"/>
          <w:numId w:val="3"/>
        </w:numPr>
        <w:spacing w:line="240" w:lineRule="auto"/>
        <w:jc w:val="both"/>
        <w:rPr>
          <w:sz w:val="24"/>
          <w:szCs w:val="24"/>
        </w:rPr>
      </w:pPr>
      <w:r>
        <w:rPr>
          <w:rFonts w:ascii="Arial" w:eastAsia="Arial" w:hAnsi="Arial" w:cs="Arial"/>
          <w:b/>
          <w:bCs/>
          <w:sz w:val="24"/>
          <w:szCs w:val="24"/>
        </w:rPr>
        <w:t>Service Evaluation</w:t>
      </w:r>
      <w:r>
        <w:rPr>
          <w:rFonts w:ascii="Arial" w:eastAsia="Arial" w:hAnsi="Arial" w:cs="Arial"/>
          <w:i/>
          <w:iCs/>
          <w:sz w:val="24"/>
          <w:szCs w:val="24"/>
        </w:rPr>
        <w:t xml:space="preserve">: </w:t>
      </w:r>
      <w:r>
        <w:rPr>
          <w:rFonts w:ascii="Arial" w:eastAsia="Arial" w:hAnsi="Arial" w:cs="Arial"/>
          <w:sz w:val="24"/>
          <w:szCs w:val="24"/>
        </w:rPr>
        <w:t>The service continued collecting satisfaction feedback from key</w:t>
      </w:r>
      <w:r>
        <w:rPr>
          <w:rFonts w:ascii="Arial" w:eastAsia="Arial" w:hAnsi="Arial" w:cs="Arial"/>
          <w:i/>
          <w:iCs/>
          <w:sz w:val="24"/>
          <w:szCs w:val="24"/>
        </w:rPr>
        <w:t xml:space="preserve"> </w:t>
      </w:r>
      <w:r>
        <w:rPr>
          <w:rFonts w:ascii="Arial" w:eastAsia="Arial" w:hAnsi="Arial" w:cs="Arial"/>
          <w:sz w:val="24"/>
          <w:szCs w:val="24"/>
        </w:rPr>
        <w:t>stakeholders as part of the service routine evaluation strategy. Feedback was broadly positive and PDS staff were described as ‘understanding’ and that the reports produced were ‘thorough’ and ‘exceptionally well done’.</w:t>
      </w:r>
    </w:p>
    <w:p w14:paraId="5B1E0EE9" w14:textId="77777777" w:rsidR="002621B2" w:rsidRDefault="002621B2" w:rsidP="002621B2">
      <w:pPr>
        <w:spacing w:line="240" w:lineRule="auto"/>
        <w:jc w:val="both"/>
        <w:rPr>
          <w:rFonts w:ascii="Arial" w:eastAsia="Arial" w:hAnsi="Arial" w:cs="Arial"/>
          <w:b/>
          <w:bCs/>
          <w:sz w:val="32"/>
          <w:szCs w:val="32"/>
        </w:rPr>
      </w:pPr>
    </w:p>
    <w:p w14:paraId="2B2EE87F" w14:textId="77777777" w:rsidR="002621B2" w:rsidRDefault="002621B2" w:rsidP="002621B2">
      <w:pPr>
        <w:spacing w:line="240" w:lineRule="auto"/>
        <w:jc w:val="both"/>
        <w:rPr>
          <w:rFonts w:ascii="Arial" w:eastAsia="Arial" w:hAnsi="Arial" w:cs="Arial"/>
          <w:b/>
          <w:bCs/>
          <w:sz w:val="32"/>
          <w:szCs w:val="32"/>
        </w:rPr>
      </w:pPr>
    </w:p>
    <w:p w14:paraId="419A2089" w14:textId="77777777" w:rsidR="002621B2" w:rsidRDefault="002621B2" w:rsidP="002621B2">
      <w:pPr>
        <w:spacing w:line="240" w:lineRule="auto"/>
        <w:jc w:val="both"/>
        <w:rPr>
          <w:rFonts w:ascii="Arial" w:eastAsia="Arial" w:hAnsi="Arial" w:cs="Arial"/>
          <w:b/>
          <w:bCs/>
          <w:sz w:val="32"/>
          <w:szCs w:val="32"/>
        </w:rPr>
      </w:pPr>
    </w:p>
    <w:p w14:paraId="46363982" w14:textId="77777777" w:rsidR="00C95F31" w:rsidRDefault="00C95F31"/>
    <w:sectPr w:rsidR="00C9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4119"/>
    <w:multiLevelType w:val="hybridMultilevel"/>
    <w:tmpl w:val="583E9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04671"/>
    <w:multiLevelType w:val="hybridMultilevel"/>
    <w:tmpl w:val="4A867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D6E2D59"/>
    <w:multiLevelType w:val="hybridMultilevel"/>
    <w:tmpl w:val="856C1D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1679657">
    <w:abstractNumId w:val="2"/>
  </w:num>
  <w:num w:numId="2" w16cid:durableId="796870823">
    <w:abstractNumId w:val="0"/>
  </w:num>
  <w:num w:numId="3" w16cid:durableId="1674650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CA"/>
    <w:rsid w:val="002621B2"/>
    <w:rsid w:val="00C95F31"/>
    <w:rsid w:val="00DF1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1DE8"/>
  <w15:chartTrackingRefBased/>
  <w15:docId w15:val="{0CCB1E9A-171D-4AE6-83F1-D4ADC6AC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B2"/>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Heather (LEEDS AND YORK PARTNERSHIP NHS FOUNDATION TRUST)</dc:creator>
  <cp:keywords/>
  <dc:description/>
  <cp:lastModifiedBy>JOHNSTON, Heather (LEEDS AND YORK PARTNERSHIP NHS FOUNDATION TRUST)</cp:lastModifiedBy>
  <cp:revision>2</cp:revision>
  <dcterms:created xsi:type="dcterms:W3CDTF">2023-02-03T09:10:00Z</dcterms:created>
  <dcterms:modified xsi:type="dcterms:W3CDTF">2023-02-03T09:13:00Z</dcterms:modified>
</cp:coreProperties>
</file>