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E2862" w14:textId="77777777" w:rsidR="00E13E12" w:rsidRDefault="00E13E12" w:rsidP="00E13E12"/>
    <w:p w14:paraId="5076018C" w14:textId="3E83A4F8" w:rsidR="0044740C" w:rsidRPr="00E13E12" w:rsidRDefault="0044740C" w:rsidP="00E13E12">
      <w:pPr>
        <w:pStyle w:val="Title"/>
        <w:jc w:val="center"/>
        <w:rPr>
          <w:rFonts w:ascii="Arial" w:hAnsi="Arial" w:cs="Arial"/>
          <w:b/>
        </w:rPr>
      </w:pPr>
      <w:r w:rsidRPr="00E13E12">
        <w:rPr>
          <w:rFonts w:ascii="Arial" w:hAnsi="Arial" w:cs="Arial"/>
          <w:b/>
        </w:rPr>
        <w:t>Depot Antipsychotic Guidance</w:t>
      </w:r>
    </w:p>
    <w:p w14:paraId="32A24D81" w14:textId="77777777" w:rsidR="00E13E12" w:rsidRDefault="00E13E12" w:rsidP="0044740C">
      <w:pPr>
        <w:pStyle w:val="NoSpacing"/>
        <w:rPr>
          <w:b/>
          <w:bCs/>
          <w:sz w:val="32"/>
          <w:szCs w:val="32"/>
        </w:rPr>
      </w:pPr>
    </w:p>
    <w:p w14:paraId="51501F01" w14:textId="2475DC63" w:rsidR="00E13E12" w:rsidRPr="00E13E12" w:rsidRDefault="00E13E12" w:rsidP="00E13E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8"/>
          <w:szCs w:val="28"/>
        </w:rPr>
      </w:pPr>
      <w:r w:rsidRPr="00E13E12">
        <w:rPr>
          <w:b/>
          <w:bCs/>
          <w:color w:val="FF0000"/>
          <w:sz w:val="28"/>
          <w:szCs w:val="28"/>
        </w:rPr>
        <w:t>During the COVID-19 outbreak it may be necessary to take extra precautions when administering depot antipsychotics to patients. If a patient is displaying signs and symptoms of COVID-19 (a high temperature, or new continuous chronic cough), or is a confirmed case; it is necessary to check national and local protocols regarding Personal Protective Equipment (PPE) with your manager. Ensure strictly that infection control procedures are followed.</w:t>
      </w:r>
    </w:p>
    <w:p w14:paraId="217002E8" w14:textId="77777777" w:rsidR="00E13E12" w:rsidRPr="00E13E12" w:rsidRDefault="00E13E12" w:rsidP="0044740C">
      <w:pPr>
        <w:pStyle w:val="NoSpacing"/>
        <w:rPr>
          <w:bCs/>
          <w:sz w:val="32"/>
          <w:szCs w:val="32"/>
        </w:rPr>
      </w:pPr>
    </w:p>
    <w:p w14:paraId="178417BF" w14:textId="60DFCB6E" w:rsidR="00E13E12" w:rsidRPr="00E13E12" w:rsidRDefault="00E13E12" w:rsidP="0044740C">
      <w:pPr>
        <w:pStyle w:val="NoSpacing"/>
        <w:rPr>
          <w:b/>
          <w:bCs/>
          <w:sz w:val="28"/>
          <w:szCs w:val="28"/>
        </w:rPr>
      </w:pPr>
      <w:r w:rsidRPr="00E13E12">
        <w:rPr>
          <w:b/>
          <w:bCs/>
          <w:sz w:val="28"/>
          <w:szCs w:val="28"/>
        </w:rPr>
        <w:t xml:space="preserve">Summary </w:t>
      </w:r>
    </w:p>
    <w:p w14:paraId="048C2AAF" w14:textId="70666128" w:rsidR="00E13E12" w:rsidRDefault="00E13E12" w:rsidP="0044740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This </w:t>
      </w:r>
      <w:r w:rsidR="00AB5420">
        <w:rPr>
          <w:bCs/>
          <w:sz w:val="24"/>
          <w:szCs w:val="24"/>
        </w:rPr>
        <w:t xml:space="preserve">document </w:t>
      </w:r>
      <w:r>
        <w:rPr>
          <w:bCs/>
          <w:sz w:val="24"/>
          <w:szCs w:val="24"/>
        </w:rPr>
        <w:t xml:space="preserve">provides guidance on depot antipsychotic interventions. </w:t>
      </w:r>
      <w:r w:rsidR="00AB5420">
        <w:rPr>
          <w:bCs/>
          <w:sz w:val="24"/>
          <w:szCs w:val="24"/>
        </w:rPr>
        <w:t>It has sections on:</w:t>
      </w:r>
    </w:p>
    <w:p w14:paraId="46EDF5D1" w14:textId="7007D442" w:rsidR="00E13E12" w:rsidRPr="00E13E12" w:rsidRDefault="00E13E12" w:rsidP="00E13E12">
      <w:pPr>
        <w:pStyle w:val="NoSpacing"/>
        <w:numPr>
          <w:ilvl w:val="0"/>
          <w:numId w:val="9"/>
        </w:numPr>
        <w:rPr>
          <w:bCs/>
          <w:sz w:val="24"/>
          <w:szCs w:val="24"/>
        </w:rPr>
      </w:pPr>
      <w:r w:rsidRPr="00E13E12">
        <w:rPr>
          <w:bCs/>
          <w:sz w:val="24"/>
          <w:szCs w:val="24"/>
        </w:rPr>
        <w:t>Missed doses of depot antipsychotic injections</w:t>
      </w:r>
    </w:p>
    <w:p w14:paraId="418FB19C" w14:textId="6864E061" w:rsidR="00E13E12" w:rsidRPr="00E13E12" w:rsidRDefault="00AB5420" w:rsidP="00AB5420">
      <w:pPr>
        <w:pStyle w:val="NoSpacing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oints to consider </w:t>
      </w:r>
      <w:r>
        <w:rPr>
          <w:bCs/>
          <w:sz w:val="24"/>
          <w:szCs w:val="24"/>
        </w:rPr>
        <w:t>when deciding to s</w:t>
      </w:r>
      <w:r w:rsidRPr="00AB5420">
        <w:rPr>
          <w:bCs/>
          <w:sz w:val="24"/>
          <w:szCs w:val="24"/>
        </w:rPr>
        <w:t>witch from a depot to oral medication</w:t>
      </w:r>
      <w:r>
        <w:rPr>
          <w:bCs/>
          <w:sz w:val="24"/>
          <w:szCs w:val="24"/>
        </w:rPr>
        <w:t xml:space="preserve"> </w:t>
      </w:r>
    </w:p>
    <w:p w14:paraId="34CC47B0" w14:textId="77777777" w:rsidR="00AB5420" w:rsidRDefault="00AB5420" w:rsidP="00AB5420">
      <w:pPr>
        <w:pStyle w:val="NoSpacing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Tables to help decision making for service users on </w:t>
      </w:r>
    </w:p>
    <w:p w14:paraId="5B5C8B0B" w14:textId="57DCF109" w:rsidR="00F55BD8" w:rsidRDefault="00AB5420" w:rsidP="00AB5420">
      <w:pPr>
        <w:pStyle w:val="NoSpacing"/>
        <w:numPr>
          <w:ilvl w:val="1"/>
          <w:numId w:val="9"/>
        </w:numPr>
        <w:rPr>
          <w:bCs/>
          <w:sz w:val="24"/>
          <w:szCs w:val="24"/>
        </w:rPr>
      </w:pPr>
      <w:r w:rsidRPr="00AB5420">
        <w:rPr>
          <w:bCs/>
          <w:sz w:val="24"/>
          <w:szCs w:val="24"/>
        </w:rPr>
        <w:t>Weekly depot injection</w:t>
      </w:r>
    </w:p>
    <w:p w14:paraId="18F0ABAA" w14:textId="75A4C23C" w:rsidR="00AB5420" w:rsidRDefault="00AB5420" w:rsidP="00AB5420">
      <w:pPr>
        <w:pStyle w:val="NoSpacing"/>
        <w:numPr>
          <w:ilvl w:val="1"/>
          <w:numId w:val="9"/>
        </w:numPr>
        <w:rPr>
          <w:bCs/>
          <w:sz w:val="24"/>
          <w:szCs w:val="24"/>
        </w:rPr>
      </w:pPr>
      <w:r w:rsidRPr="00AB5420">
        <w:rPr>
          <w:bCs/>
          <w:sz w:val="24"/>
          <w:szCs w:val="24"/>
        </w:rPr>
        <w:t>Fortnightly (every two weeks) depot injection</w:t>
      </w:r>
    </w:p>
    <w:p w14:paraId="753D6AC7" w14:textId="57BFD49F" w:rsidR="00AB5420" w:rsidRDefault="00AB5420" w:rsidP="00AB5420">
      <w:pPr>
        <w:pStyle w:val="NoSpacing"/>
        <w:numPr>
          <w:ilvl w:val="1"/>
          <w:numId w:val="9"/>
        </w:numPr>
        <w:rPr>
          <w:bCs/>
          <w:sz w:val="24"/>
          <w:szCs w:val="24"/>
        </w:rPr>
      </w:pPr>
      <w:r w:rsidRPr="00AB5420">
        <w:rPr>
          <w:bCs/>
          <w:sz w:val="24"/>
          <w:szCs w:val="24"/>
        </w:rPr>
        <w:t>Three weekly depot injection</w:t>
      </w:r>
    </w:p>
    <w:p w14:paraId="66090B75" w14:textId="0F67148A" w:rsidR="00AB5420" w:rsidRDefault="00AB5420" w:rsidP="00AB5420">
      <w:pPr>
        <w:pStyle w:val="NoSpacing"/>
        <w:numPr>
          <w:ilvl w:val="1"/>
          <w:numId w:val="9"/>
        </w:numPr>
        <w:rPr>
          <w:bCs/>
          <w:sz w:val="24"/>
          <w:szCs w:val="24"/>
        </w:rPr>
      </w:pPr>
      <w:r w:rsidRPr="00AB5420">
        <w:rPr>
          <w:bCs/>
          <w:sz w:val="24"/>
          <w:szCs w:val="24"/>
        </w:rPr>
        <w:t>Four weekly or monthly depot injection</w:t>
      </w:r>
    </w:p>
    <w:p w14:paraId="7DB74F71" w14:textId="7E15E39E" w:rsidR="00AB5420" w:rsidRPr="00E13E12" w:rsidRDefault="00AB5420" w:rsidP="00AB5420">
      <w:pPr>
        <w:pStyle w:val="NoSpacing"/>
        <w:numPr>
          <w:ilvl w:val="0"/>
          <w:numId w:val="9"/>
        </w:numPr>
        <w:rPr>
          <w:bCs/>
          <w:sz w:val="24"/>
          <w:szCs w:val="24"/>
        </w:rPr>
      </w:pPr>
      <w:r w:rsidRPr="00AB5420">
        <w:rPr>
          <w:bCs/>
          <w:sz w:val="24"/>
          <w:szCs w:val="24"/>
        </w:rPr>
        <w:t>Injection sites for depot antipsychotics</w:t>
      </w:r>
    </w:p>
    <w:p w14:paraId="1AA61D07" w14:textId="77777777" w:rsidR="0044740C" w:rsidRPr="00C90477" w:rsidRDefault="0044740C" w:rsidP="0044740C">
      <w:pPr>
        <w:pStyle w:val="NoSpacing"/>
        <w:rPr>
          <w:b/>
          <w:bCs/>
          <w:sz w:val="24"/>
          <w:szCs w:val="24"/>
        </w:rPr>
      </w:pPr>
    </w:p>
    <w:p w14:paraId="666C7306" w14:textId="45E2B181" w:rsidR="00E45D8E" w:rsidRPr="00C90477" w:rsidRDefault="00953963" w:rsidP="0044740C">
      <w:pPr>
        <w:pStyle w:val="NoSpacing"/>
        <w:rPr>
          <w:b/>
          <w:bCs/>
          <w:sz w:val="24"/>
          <w:szCs w:val="24"/>
        </w:rPr>
      </w:pPr>
      <w:r w:rsidRPr="00AB5420">
        <w:rPr>
          <w:b/>
          <w:bCs/>
          <w:sz w:val="28"/>
          <w:szCs w:val="28"/>
        </w:rPr>
        <w:t>N</w:t>
      </w:r>
      <w:r w:rsidR="00EC2409" w:rsidRPr="00AB5420">
        <w:rPr>
          <w:b/>
          <w:bCs/>
          <w:sz w:val="28"/>
          <w:szCs w:val="28"/>
        </w:rPr>
        <w:t>B:</w:t>
      </w:r>
      <w:r w:rsidRPr="00C90477">
        <w:rPr>
          <w:b/>
          <w:bCs/>
          <w:sz w:val="24"/>
          <w:szCs w:val="24"/>
        </w:rPr>
        <w:t xml:space="preserve"> The information</w:t>
      </w:r>
      <w:r w:rsidR="00EC2409" w:rsidRPr="00C90477">
        <w:rPr>
          <w:b/>
          <w:bCs/>
          <w:sz w:val="24"/>
          <w:szCs w:val="24"/>
        </w:rPr>
        <w:t xml:space="preserve"> contained within this document should be used as a </w:t>
      </w:r>
      <w:r w:rsidR="00EC2409" w:rsidRPr="00AB5420">
        <w:rPr>
          <w:b/>
          <w:bCs/>
          <w:sz w:val="24"/>
          <w:szCs w:val="24"/>
          <w:u w:val="single"/>
        </w:rPr>
        <w:t>guide</w:t>
      </w:r>
      <w:r w:rsidR="00EC2409" w:rsidRPr="00AB5420">
        <w:rPr>
          <w:b/>
          <w:bCs/>
          <w:sz w:val="24"/>
          <w:szCs w:val="24"/>
        </w:rPr>
        <w:t>.</w:t>
      </w:r>
      <w:r w:rsidR="00EC2409" w:rsidRPr="00C90477">
        <w:rPr>
          <w:b/>
          <w:bCs/>
          <w:sz w:val="24"/>
          <w:szCs w:val="24"/>
        </w:rPr>
        <w:t xml:space="preserve"> Each service user</w:t>
      </w:r>
      <w:r w:rsidR="00E45D8E" w:rsidRPr="00C90477">
        <w:rPr>
          <w:b/>
          <w:bCs/>
          <w:sz w:val="24"/>
          <w:szCs w:val="24"/>
        </w:rPr>
        <w:t>’</w:t>
      </w:r>
      <w:r w:rsidR="00EC2409" w:rsidRPr="00C90477">
        <w:rPr>
          <w:b/>
          <w:bCs/>
          <w:sz w:val="24"/>
          <w:szCs w:val="24"/>
        </w:rPr>
        <w:t xml:space="preserve">s care should be assessed on a case by case </w:t>
      </w:r>
      <w:r w:rsidR="00E45D8E" w:rsidRPr="00C90477">
        <w:rPr>
          <w:b/>
          <w:bCs/>
          <w:sz w:val="24"/>
          <w:szCs w:val="24"/>
        </w:rPr>
        <w:t xml:space="preserve">basis </w:t>
      </w:r>
      <w:r w:rsidR="00EC2409" w:rsidRPr="00C90477">
        <w:rPr>
          <w:b/>
          <w:bCs/>
          <w:sz w:val="24"/>
          <w:szCs w:val="24"/>
        </w:rPr>
        <w:t xml:space="preserve">with respect to clinical needs and inherent risks. The pharmacy department cannot provide specific advice regarding </w:t>
      </w:r>
      <w:r w:rsidR="00E45D8E" w:rsidRPr="00C90477">
        <w:rPr>
          <w:b/>
          <w:bCs/>
          <w:sz w:val="24"/>
          <w:szCs w:val="24"/>
        </w:rPr>
        <w:t xml:space="preserve">the clinical needs of </w:t>
      </w:r>
      <w:r w:rsidR="00EC2409" w:rsidRPr="00C90477">
        <w:rPr>
          <w:b/>
          <w:bCs/>
          <w:sz w:val="24"/>
          <w:szCs w:val="24"/>
        </w:rPr>
        <w:t xml:space="preserve">individual </w:t>
      </w:r>
      <w:r w:rsidR="00E45D8E" w:rsidRPr="00C90477">
        <w:rPr>
          <w:b/>
          <w:bCs/>
          <w:sz w:val="24"/>
          <w:szCs w:val="24"/>
        </w:rPr>
        <w:t xml:space="preserve">service user(s). </w:t>
      </w:r>
      <w:r w:rsidR="00254F9F" w:rsidRPr="00C90477">
        <w:rPr>
          <w:b/>
          <w:bCs/>
          <w:sz w:val="24"/>
          <w:szCs w:val="24"/>
        </w:rPr>
        <w:t>The final decisions related to this, need to be agreed following discussions with the team and prescriber e.g. consultant psychiatrist.</w:t>
      </w:r>
      <w:r w:rsidR="00E45D8E" w:rsidRPr="00C90477">
        <w:rPr>
          <w:b/>
          <w:bCs/>
          <w:sz w:val="24"/>
          <w:szCs w:val="24"/>
          <w:highlight w:val="yellow"/>
        </w:rPr>
        <w:t xml:space="preserve"> </w:t>
      </w:r>
    </w:p>
    <w:p w14:paraId="56522EAC" w14:textId="77777777" w:rsidR="00953963" w:rsidRDefault="00953963" w:rsidP="0044740C">
      <w:pPr>
        <w:pStyle w:val="NoSpacing"/>
        <w:rPr>
          <w:b/>
          <w:bCs/>
          <w:sz w:val="28"/>
          <w:szCs w:val="28"/>
        </w:rPr>
      </w:pPr>
    </w:p>
    <w:p w14:paraId="7899DD1B" w14:textId="77777777" w:rsidR="00953963" w:rsidRPr="0044740C" w:rsidRDefault="00953963" w:rsidP="0044740C">
      <w:pPr>
        <w:pStyle w:val="NoSpacing"/>
        <w:rPr>
          <w:b/>
          <w:bCs/>
          <w:sz w:val="28"/>
          <w:szCs w:val="28"/>
        </w:rPr>
      </w:pPr>
    </w:p>
    <w:p w14:paraId="74A36B1F" w14:textId="1B96C606" w:rsidR="00B60BE2" w:rsidRDefault="00B60BE2" w:rsidP="00F55BD8">
      <w:pPr>
        <w:rPr>
          <w:b/>
          <w:sz w:val="28"/>
          <w:szCs w:val="28"/>
        </w:rPr>
      </w:pPr>
      <w:r w:rsidRPr="0044740C">
        <w:rPr>
          <w:b/>
          <w:sz w:val="28"/>
          <w:szCs w:val="28"/>
        </w:rPr>
        <w:lastRenderedPageBreak/>
        <w:t>MISSED DOSES OF DEPOT ANTIPSYCHOTIC INJECTIONS</w:t>
      </w:r>
    </w:p>
    <w:p w14:paraId="74930650" w14:textId="77777777" w:rsidR="0078668C" w:rsidRPr="00C90477" w:rsidRDefault="0078668C" w:rsidP="00E13E12">
      <w:pPr>
        <w:rPr>
          <w:b/>
          <w:bCs/>
          <w:sz w:val="24"/>
          <w:szCs w:val="24"/>
        </w:rPr>
      </w:pPr>
      <w:r w:rsidRPr="00C90477">
        <w:rPr>
          <w:b/>
          <w:bCs/>
          <w:sz w:val="24"/>
          <w:szCs w:val="24"/>
        </w:rPr>
        <w:t xml:space="preserve">If there are any queries regarding the following, please contact LYPFT Medicines Information for advice on either </w:t>
      </w:r>
      <w:hyperlink r:id="rId8" w:history="1">
        <w:r w:rsidRPr="00C90477">
          <w:rPr>
            <w:rStyle w:val="Hyperlink"/>
            <w:b/>
            <w:bCs/>
            <w:sz w:val="24"/>
            <w:szCs w:val="24"/>
          </w:rPr>
          <w:t>pharmacyleedspft.lypft@nhs.net</w:t>
        </w:r>
      </w:hyperlink>
      <w:r w:rsidRPr="00C90477">
        <w:rPr>
          <w:b/>
          <w:bCs/>
          <w:sz w:val="24"/>
          <w:szCs w:val="24"/>
        </w:rPr>
        <w:t xml:space="preserve"> or telephone 0113 8555534:</w:t>
      </w:r>
    </w:p>
    <w:p w14:paraId="26239B40" w14:textId="5E32ED95" w:rsidR="0078668C" w:rsidRPr="00C90477" w:rsidRDefault="0078668C" w:rsidP="0078668C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90477">
        <w:rPr>
          <w:b/>
          <w:bCs/>
          <w:sz w:val="24"/>
          <w:szCs w:val="24"/>
        </w:rPr>
        <w:t>Missed doses of atypical antipsychotics (Olanzapine, Aripiprazole, Paliperidone, Risperdal Consta), where advice is not clear as per the LYPFT Medicines Cod</w:t>
      </w:r>
      <w:r w:rsidR="00672027">
        <w:rPr>
          <w:b/>
          <w:bCs/>
          <w:sz w:val="24"/>
          <w:szCs w:val="24"/>
        </w:rPr>
        <w:t>e</w:t>
      </w:r>
    </w:p>
    <w:p w14:paraId="6F80F857" w14:textId="069153D1" w:rsidR="00533D69" w:rsidRDefault="0078668C" w:rsidP="0044740C">
      <w:pPr>
        <w:pStyle w:val="ListParagraph"/>
        <w:numPr>
          <w:ilvl w:val="0"/>
          <w:numId w:val="5"/>
        </w:numPr>
        <w:rPr>
          <w:b/>
          <w:bCs/>
          <w:color w:val="FF0000"/>
          <w:sz w:val="24"/>
          <w:szCs w:val="24"/>
        </w:rPr>
      </w:pPr>
      <w:r w:rsidRPr="00C90477">
        <w:rPr>
          <w:b/>
          <w:bCs/>
          <w:sz w:val="24"/>
          <w:szCs w:val="24"/>
        </w:rPr>
        <w:t xml:space="preserve">If increasing the dose of depot due to a missed dose exceeds normal BNF limits, all </w:t>
      </w:r>
      <w:r w:rsidR="00533D69" w:rsidRPr="00C90477">
        <w:rPr>
          <w:b/>
          <w:bCs/>
          <w:color w:val="FF0000"/>
          <w:sz w:val="24"/>
          <w:szCs w:val="24"/>
        </w:rPr>
        <w:t xml:space="preserve">new doses that are above 100% BNF maximum should </w:t>
      </w:r>
      <w:r w:rsidRPr="00C90477">
        <w:rPr>
          <w:b/>
          <w:bCs/>
          <w:color w:val="FF0000"/>
          <w:sz w:val="24"/>
          <w:szCs w:val="24"/>
        </w:rPr>
        <w:t xml:space="preserve">also </w:t>
      </w:r>
      <w:r w:rsidR="00533D69" w:rsidRPr="00C90477">
        <w:rPr>
          <w:b/>
          <w:bCs/>
          <w:color w:val="FF0000"/>
          <w:sz w:val="24"/>
          <w:szCs w:val="24"/>
        </w:rPr>
        <w:t>be discussed with Consultant Psychiatrist before prescribing and administration.</w:t>
      </w:r>
    </w:p>
    <w:p w14:paraId="132123C1" w14:textId="77777777" w:rsidR="0067618C" w:rsidRDefault="0067618C" w:rsidP="00F3525E">
      <w:pPr>
        <w:rPr>
          <w:b/>
          <w:bCs/>
          <w:sz w:val="28"/>
          <w:szCs w:val="28"/>
        </w:rPr>
      </w:pPr>
    </w:p>
    <w:p w14:paraId="7AFDBA74" w14:textId="6FE36717" w:rsidR="00F3525E" w:rsidRDefault="00F3525E" w:rsidP="00F3525E">
      <w:pPr>
        <w:rPr>
          <w:b/>
          <w:bCs/>
          <w:sz w:val="28"/>
          <w:szCs w:val="28"/>
        </w:rPr>
      </w:pPr>
      <w:r w:rsidRPr="00F3525E">
        <w:rPr>
          <w:b/>
          <w:bCs/>
          <w:sz w:val="28"/>
          <w:szCs w:val="28"/>
        </w:rPr>
        <w:t>SWITCHING FROM A DEPOT TO ORAL MEDICATION</w:t>
      </w:r>
    </w:p>
    <w:p w14:paraId="11229E7A" w14:textId="0A8546A4" w:rsidR="00672027" w:rsidRDefault="00672027" w:rsidP="00672027">
      <w:pPr>
        <w:rPr>
          <w:sz w:val="24"/>
          <w:szCs w:val="24"/>
        </w:rPr>
      </w:pPr>
      <w:r>
        <w:rPr>
          <w:sz w:val="24"/>
          <w:szCs w:val="24"/>
        </w:rPr>
        <w:t xml:space="preserve">Most service users (SU) are prescribed a depot due to compliance issues with medication; therefore please consider the </w:t>
      </w:r>
      <w:r w:rsidRPr="00672027">
        <w:rPr>
          <w:b/>
          <w:color w:val="FF0000"/>
          <w:sz w:val="24"/>
          <w:szCs w:val="24"/>
        </w:rPr>
        <w:t>long &amp; short term risk(s) of switching to oral preparation</w:t>
      </w:r>
      <w:r>
        <w:rPr>
          <w:color w:val="FF0000"/>
          <w:sz w:val="24"/>
          <w:szCs w:val="24"/>
        </w:rPr>
        <w:t xml:space="preserve"> </w:t>
      </w:r>
      <w:r w:rsidRPr="00672027">
        <w:rPr>
          <w:sz w:val="24"/>
          <w:szCs w:val="24"/>
        </w:rPr>
        <w:t xml:space="preserve">and the </w:t>
      </w:r>
      <w:r>
        <w:rPr>
          <w:sz w:val="24"/>
          <w:szCs w:val="24"/>
        </w:rPr>
        <w:t>following points prior to considering this route:</w:t>
      </w:r>
    </w:p>
    <w:p w14:paraId="782663E4" w14:textId="77777777" w:rsidR="00672027" w:rsidRDefault="00672027" w:rsidP="0067202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SU understands and is in agreement to adhere to oral medication</w:t>
      </w:r>
    </w:p>
    <w:p w14:paraId="73D31D28" w14:textId="77777777" w:rsidR="00672027" w:rsidRDefault="00672027" w:rsidP="0067202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 member of staff has access to the patient during the changeover to ensure any signs of relapse are detected accordingly – </w:t>
      </w:r>
    </w:p>
    <w:p w14:paraId="05128723" w14:textId="77777777" w:rsidR="00672027" w:rsidRDefault="00672027" w:rsidP="0067202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patient is able to access support should they fe</w:t>
      </w:r>
      <w:bookmarkStart w:id="0" w:name="_GoBack"/>
      <w:bookmarkEnd w:id="0"/>
      <w:r>
        <w:rPr>
          <w:sz w:val="24"/>
          <w:szCs w:val="24"/>
        </w:rPr>
        <w:t>el their mental health is deteriorating</w:t>
      </w:r>
    </w:p>
    <w:p w14:paraId="32D70A14" w14:textId="77777777" w:rsidR="00672027" w:rsidRDefault="00672027" w:rsidP="00672027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There will be a continued prescription available so the SU is able to access their medication </w:t>
      </w:r>
      <w:r>
        <w:rPr>
          <w:b/>
          <w:bCs/>
          <w:sz w:val="24"/>
          <w:szCs w:val="24"/>
        </w:rPr>
        <w:t>– clear plan as to who will prescribe</w:t>
      </w:r>
    </w:p>
    <w:p w14:paraId="7EAA7C3A" w14:textId="77777777" w:rsidR="00672027" w:rsidRDefault="00672027" w:rsidP="0067202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SU is able to access their medication via a community pharmacist or other means</w:t>
      </w:r>
    </w:p>
    <w:p w14:paraId="01F6C37D" w14:textId="0F944CCF" w:rsidR="00F3525E" w:rsidRPr="00F3525E" w:rsidRDefault="00F3525E" w:rsidP="00F3525E">
      <w:pPr>
        <w:rPr>
          <w:b/>
          <w:bCs/>
          <w:sz w:val="24"/>
          <w:szCs w:val="24"/>
        </w:rPr>
      </w:pPr>
      <w:r w:rsidRPr="00F3525E">
        <w:rPr>
          <w:b/>
          <w:bCs/>
          <w:sz w:val="24"/>
          <w:szCs w:val="24"/>
        </w:rPr>
        <w:t xml:space="preserve">If </w:t>
      </w:r>
      <w:r w:rsidR="00220277">
        <w:rPr>
          <w:b/>
          <w:bCs/>
          <w:sz w:val="24"/>
          <w:szCs w:val="24"/>
        </w:rPr>
        <w:t xml:space="preserve">all the above has been considered and the SU is deemed </w:t>
      </w:r>
      <w:r w:rsidRPr="00F3525E">
        <w:rPr>
          <w:b/>
          <w:bCs/>
          <w:sz w:val="24"/>
          <w:szCs w:val="24"/>
        </w:rPr>
        <w:t xml:space="preserve">appropriate to be switched back to oral medication, please seek </w:t>
      </w:r>
      <w:r w:rsidR="00220277">
        <w:rPr>
          <w:b/>
          <w:bCs/>
          <w:sz w:val="24"/>
          <w:szCs w:val="24"/>
        </w:rPr>
        <w:t xml:space="preserve">advice from the </w:t>
      </w:r>
      <w:r w:rsidRPr="00F3525E">
        <w:rPr>
          <w:b/>
          <w:bCs/>
          <w:sz w:val="24"/>
          <w:szCs w:val="24"/>
        </w:rPr>
        <w:t xml:space="preserve">pharmacy on </w:t>
      </w:r>
      <w:hyperlink r:id="rId9" w:history="1">
        <w:r w:rsidRPr="00F3525E">
          <w:rPr>
            <w:rStyle w:val="Hyperlink"/>
            <w:b/>
            <w:bCs/>
            <w:sz w:val="24"/>
            <w:szCs w:val="24"/>
          </w:rPr>
          <w:t>pharmacyleedspft.lypft@nhs.net</w:t>
        </w:r>
      </w:hyperlink>
      <w:r w:rsidR="00220277">
        <w:rPr>
          <w:b/>
          <w:bCs/>
          <w:sz w:val="24"/>
          <w:szCs w:val="24"/>
        </w:rPr>
        <w:t xml:space="preserve"> or telephone 0113 8555534</w:t>
      </w:r>
    </w:p>
    <w:p w14:paraId="1FCD7906" w14:textId="77777777" w:rsidR="0067618C" w:rsidRDefault="0067618C" w:rsidP="00F3525E">
      <w:pPr>
        <w:rPr>
          <w:b/>
          <w:bCs/>
          <w:sz w:val="28"/>
          <w:szCs w:val="28"/>
        </w:rPr>
      </w:pPr>
    </w:p>
    <w:p w14:paraId="28A89301" w14:textId="77777777" w:rsidR="0067618C" w:rsidRPr="00F3525E" w:rsidRDefault="0067618C" w:rsidP="00F3525E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398"/>
        <w:tblW w:w="14567" w:type="dxa"/>
        <w:tblLook w:val="04A0" w:firstRow="1" w:lastRow="0" w:firstColumn="1" w:lastColumn="0" w:noHBand="0" w:noVBand="1"/>
      </w:tblPr>
      <w:tblGrid>
        <w:gridCol w:w="3545"/>
        <w:gridCol w:w="2551"/>
        <w:gridCol w:w="3084"/>
        <w:gridCol w:w="5387"/>
      </w:tblGrid>
      <w:tr w:rsidR="00B60BE2" w14:paraId="5304EE0B" w14:textId="77777777" w:rsidTr="00B60BE2">
        <w:trPr>
          <w:trHeight w:val="416"/>
        </w:trPr>
        <w:tc>
          <w:tcPr>
            <w:tcW w:w="14567" w:type="dxa"/>
            <w:gridSpan w:val="4"/>
            <w:shd w:val="clear" w:color="auto" w:fill="95B3D7" w:themeFill="accent1" w:themeFillTint="99"/>
          </w:tcPr>
          <w:p w14:paraId="481B1BC3" w14:textId="77777777" w:rsidR="00B60BE2" w:rsidRPr="001E421A" w:rsidRDefault="00B60BE2" w:rsidP="00B60BE2">
            <w:pPr>
              <w:jc w:val="center"/>
              <w:rPr>
                <w:b/>
                <w:sz w:val="28"/>
                <w:szCs w:val="28"/>
              </w:rPr>
            </w:pPr>
            <w:r w:rsidRPr="00890EBF">
              <w:rPr>
                <w:b/>
                <w:sz w:val="28"/>
                <w:szCs w:val="28"/>
                <w:highlight w:val="yellow"/>
              </w:rPr>
              <w:lastRenderedPageBreak/>
              <w:t>WEEKLY DEPOT INJECTION</w:t>
            </w:r>
          </w:p>
        </w:tc>
      </w:tr>
      <w:tr w:rsidR="00B60BE2" w14:paraId="67597E4E" w14:textId="77777777" w:rsidTr="0067618C">
        <w:trPr>
          <w:trHeight w:val="848"/>
        </w:trPr>
        <w:tc>
          <w:tcPr>
            <w:tcW w:w="3545" w:type="dxa"/>
            <w:shd w:val="clear" w:color="auto" w:fill="95B3D7" w:themeFill="accent1" w:themeFillTint="99"/>
          </w:tcPr>
          <w:p w14:paraId="7F2CEC8A" w14:textId="77777777" w:rsidR="00B60BE2" w:rsidRPr="001E421A" w:rsidRDefault="00B60BE2" w:rsidP="00B60BE2">
            <w:pPr>
              <w:jc w:val="center"/>
              <w:rPr>
                <w:b/>
                <w:sz w:val="28"/>
                <w:szCs w:val="28"/>
              </w:rPr>
            </w:pPr>
            <w:r w:rsidRPr="001E421A">
              <w:rPr>
                <w:b/>
                <w:sz w:val="28"/>
                <w:szCs w:val="28"/>
              </w:rPr>
              <w:t xml:space="preserve"> Generic Drug Name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14:paraId="59AE6685" w14:textId="77777777" w:rsidR="00B60BE2" w:rsidRPr="00672027" w:rsidRDefault="00B60BE2" w:rsidP="00B60BE2">
            <w:pPr>
              <w:jc w:val="center"/>
              <w:rPr>
                <w:b/>
                <w:sz w:val="28"/>
                <w:szCs w:val="28"/>
              </w:rPr>
            </w:pPr>
            <w:r w:rsidRPr="00672027">
              <w:rPr>
                <w:b/>
                <w:sz w:val="28"/>
                <w:szCs w:val="28"/>
              </w:rPr>
              <w:t>Missed ONE dose</w:t>
            </w:r>
          </w:p>
          <w:p w14:paraId="797B7473" w14:textId="1AC4B8BD" w:rsidR="0032005B" w:rsidRPr="00672027" w:rsidRDefault="0032005B" w:rsidP="00B60BE2">
            <w:pPr>
              <w:jc w:val="center"/>
              <w:rPr>
                <w:b/>
                <w:sz w:val="28"/>
                <w:szCs w:val="28"/>
              </w:rPr>
            </w:pPr>
            <w:r w:rsidRPr="00672027">
              <w:rPr>
                <w:b/>
                <w:sz w:val="28"/>
                <w:szCs w:val="28"/>
              </w:rPr>
              <w:t>(i.e. 7-13 days since last dose)</w:t>
            </w:r>
          </w:p>
        </w:tc>
        <w:tc>
          <w:tcPr>
            <w:tcW w:w="3084" w:type="dxa"/>
            <w:shd w:val="clear" w:color="auto" w:fill="95B3D7" w:themeFill="accent1" w:themeFillTint="99"/>
          </w:tcPr>
          <w:p w14:paraId="647A9069" w14:textId="77777777" w:rsidR="00B60BE2" w:rsidRPr="00672027" w:rsidRDefault="00B60BE2" w:rsidP="00B60BE2">
            <w:pPr>
              <w:jc w:val="center"/>
              <w:rPr>
                <w:b/>
                <w:sz w:val="28"/>
                <w:szCs w:val="28"/>
              </w:rPr>
            </w:pPr>
            <w:r w:rsidRPr="00672027">
              <w:rPr>
                <w:b/>
                <w:sz w:val="28"/>
                <w:szCs w:val="28"/>
              </w:rPr>
              <w:t>Missed TWO doses</w:t>
            </w:r>
          </w:p>
          <w:p w14:paraId="102F459C" w14:textId="3244E82B" w:rsidR="00533D69" w:rsidRPr="00672027" w:rsidRDefault="00533D69" w:rsidP="00B60BE2">
            <w:pPr>
              <w:jc w:val="center"/>
              <w:rPr>
                <w:b/>
                <w:sz w:val="28"/>
                <w:szCs w:val="28"/>
              </w:rPr>
            </w:pPr>
            <w:r w:rsidRPr="00672027">
              <w:rPr>
                <w:b/>
                <w:sz w:val="28"/>
                <w:szCs w:val="28"/>
              </w:rPr>
              <w:t>(i.e. 14-20 days since last dose)</w:t>
            </w:r>
          </w:p>
        </w:tc>
        <w:tc>
          <w:tcPr>
            <w:tcW w:w="5387" w:type="dxa"/>
            <w:shd w:val="clear" w:color="auto" w:fill="95B3D7" w:themeFill="accent1" w:themeFillTint="99"/>
          </w:tcPr>
          <w:p w14:paraId="3CE787BE" w14:textId="77777777" w:rsidR="00B60BE2" w:rsidRPr="00672027" w:rsidRDefault="00B60BE2" w:rsidP="00B60BE2">
            <w:pPr>
              <w:jc w:val="center"/>
              <w:rPr>
                <w:b/>
                <w:sz w:val="28"/>
                <w:szCs w:val="28"/>
              </w:rPr>
            </w:pPr>
            <w:r w:rsidRPr="00672027">
              <w:rPr>
                <w:b/>
                <w:sz w:val="28"/>
                <w:szCs w:val="28"/>
              </w:rPr>
              <w:t>Missed THREE or more doses</w:t>
            </w:r>
          </w:p>
          <w:p w14:paraId="008E1F75" w14:textId="7340130F" w:rsidR="00533D69" w:rsidRPr="00672027" w:rsidRDefault="00533D69" w:rsidP="00B60BE2">
            <w:pPr>
              <w:jc w:val="center"/>
              <w:rPr>
                <w:b/>
                <w:sz w:val="28"/>
                <w:szCs w:val="28"/>
              </w:rPr>
            </w:pPr>
            <w:r w:rsidRPr="00672027">
              <w:rPr>
                <w:b/>
                <w:sz w:val="28"/>
                <w:szCs w:val="28"/>
              </w:rPr>
              <w:t>(i.e. 21</w:t>
            </w:r>
            <w:r w:rsidR="00990969" w:rsidRPr="00672027">
              <w:rPr>
                <w:b/>
                <w:sz w:val="28"/>
                <w:szCs w:val="28"/>
              </w:rPr>
              <w:t xml:space="preserve">-27  days </w:t>
            </w:r>
            <w:r w:rsidRPr="00672027">
              <w:rPr>
                <w:b/>
                <w:sz w:val="28"/>
                <w:szCs w:val="28"/>
              </w:rPr>
              <w:t>since last dose)</w:t>
            </w:r>
          </w:p>
        </w:tc>
      </w:tr>
      <w:tr w:rsidR="00B60BE2" w14:paraId="0064F23C" w14:textId="77777777" w:rsidTr="0067618C">
        <w:tc>
          <w:tcPr>
            <w:tcW w:w="3545" w:type="dxa"/>
          </w:tcPr>
          <w:p w14:paraId="6F4F5605" w14:textId="77777777" w:rsidR="00B60BE2" w:rsidRPr="006612FB" w:rsidRDefault="00B60BE2" w:rsidP="00B60BE2">
            <w:pPr>
              <w:rPr>
                <w:b/>
                <w:sz w:val="28"/>
                <w:szCs w:val="28"/>
                <w:u w:val="single"/>
              </w:rPr>
            </w:pPr>
            <w:r w:rsidRPr="006612FB">
              <w:rPr>
                <w:b/>
                <w:sz w:val="28"/>
                <w:szCs w:val="28"/>
                <w:u w:val="single"/>
              </w:rPr>
              <w:t>Flupentixol Decanoate</w:t>
            </w:r>
          </w:p>
          <w:p w14:paraId="51A3E165" w14:textId="77777777" w:rsidR="00B60BE2" w:rsidRPr="006612FB" w:rsidRDefault="00B60BE2" w:rsidP="00B60BE2">
            <w:pPr>
              <w:rPr>
                <w:b/>
                <w:sz w:val="28"/>
                <w:szCs w:val="28"/>
                <w:u w:val="single"/>
              </w:rPr>
            </w:pPr>
          </w:p>
          <w:p w14:paraId="170AC8F8" w14:textId="77777777" w:rsidR="00B60BE2" w:rsidRPr="006612FB" w:rsidRDefault="00B60BE2" w:rsidP="00B60BE2">
            <w:pPr>
              <w:rPr>
                <w:b/>
                <w:sz w:val="28"/>
                <w:szCs w:val="28"/>
                <w:u w:val="single"/>
              </w:rPr>
            </w:pPr>
            <w:r w:rsidRPr="006612FB">
              <w:rPr>
                <w:b/>
                <w:sz w:val="28"/>
                <w:szCs w:val="28"/>
                <w:u w:val="single"/>
              </w:rPr>
              <w:t xml:space="preserve">Zuclopentixol Decanoate </w:t>
            </w:r>
          </w:p>
          <w:p w14:paraId="13CC8D71" w14:textId="77777777" w:rsidR="00B60BE2" w:rsidRPr="006612FB" w:rsidRDefault="00B60BE2" w:rsidP="00B60BE2">
            <w:pPr>
              <w:rPr>
                <w:b/>
                <w:sz w:val="28"/>
                <w:szCs w:val="28"/>
                <w:u w:val="single"/>
              </w:rPr>
            </w:pPr>
          </w:p>
          <w:p w14:paraId="295AD622" w14:textId="77777777" w:rsidR="00B60BE2" w:rsidRPr="006612FB" w:rsidRDefault="00B60BE2" w:rsidP="00B60BE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1CD5A507" w14:textId="77777777" w:rsidR="00B60BE2" w:rsidRPr="00672027" w:rsidRDefault="00B60BE2" w:rsidP="00B60BE2">
            <w:r w:rsidRPr="00672027">
              <w:t>A dose can be given a day or two early or late without significant effects on plasma levels</w:t>
            </w:r>
          </w:p>
          <w:p w14:paraId="4B28CCBE" w14:textId="77777777" w:rsidR="00B60BE2" w:rsidRPr="00672027" w:rsidRDefault="00B60BE2" w:rsidP="00B60BE2"/>
          <w:p w14:paraId="393AF3AE" w14:textId="6ACA8767" w:rsidR="00B60BE2" w:rsidRPr="00672027" w:rsidRDefault="00B60BE2" w:rsidP="00B60BE2">
            <w:r w:rsidRPr="00672027">
              <w:t xml:space="preserve">If missing a </w:t>
            </w:r>
            <w:r w:rsidR="00F17C43" w:rsidRPr="00672027">
              <w:t>week,</w:t>
            </w:r>
            <w:r w:rsidRPr="00672027">
              <w:t xml:space="preserve"> give the next dose due on the schedule date but add 50-75% (within licen</w:t>
            </w:r>
            <w:r w:rsidR="00F17C43" w:rsidRPr="00672027">
              <w:t>s</w:t>
            </w:r>
            <w:r w:rsidRPr="00672027">
              <w:t>ed limits), then revert to normal dose a week after that.</w:t>
            </w:r>
            <w:r w:rsidR="0032005B" w:rsidRPr="00672027">
              <w:t xml:space="preserve"> If this </w:t>
            </w:r>
            <w:r w:rsidR="00C90477" w:rsidRPr="00672027">
              <w:t>is above</w:t>
            </w:r>
            <w:r w:rsidR="0032005B" w:rsidRPr="00672027">
              <w:t xml:space="preserve"> 100% BNF max</w:t>
            </w:r>
            <w:r w:rsidR="00990969" w:rsidRPr="00672027">
              <w:t xml:space="preserve"> please discuss with Consultant</w:t>
            </w:r>
            <w:r w:rsidR="0032005B" w:rsidRPr="00672027">
              <w:t xml:space="preserve"> Psychiatrist.</w:t>
            </w:r>
          </w:p>
          <w:p w14:paraId="7DE04D1F" w14:textId="77777777" w:rsidR="00F17C43" w:rsidRPr="00672027" w:rsidRDefault="00F17C43" w:rsidP="00B60BE2"/>
          <w:p w14:paraId="6D156E57" w14:textId="77777777" w:rsidR="00F17C43" w:rsidRPr="00672027" w:rsidRDefault="00F17C43" w:rsidP="00B60BE2"/>
          <w:p w14:paraId="5A56E180" w14:textId="77777777" w:rsidR="00F17C43" w:rsidRPr="00672027" w:rsidRDefault="00F17C43" w:rsidP="00B60BE2"/>
          <w:p w14:paraId="77436EA2" w14:textId="6A36FB62" w:rsidR="00F17C43" w:rsidRPr="00672027" w:rsidRDefault="00F17C43" w:rsidP="00B60BE2"/>
        </w:tc>
        <w:tc>
          <w:tcPr>
            <w:tcW w:w="3084" w:type="dxa"/>
          </w:tcPr>
          <w:p w14:paraId="70F84658" w14:textId="77777777" w:rsidR="00B60BE2" w:rsidRPr="00672027" w:rsidRDefault="00B60BE2" w:rsidP="00B60BE2">
            <w:r w:rsidRPr="00672027">
              <w:t xml:space="preserve">Give 50% extra   dose when restarting, and then go back to the original dose weekly.  </w:t>
            </w:r>
          </w:p>
          <w:p w14:paraId="7FAF83CB" w14:textId="77777777" w:rsidR="00B60BE2" w:rsidRDefault="00B60BE2" w:rsidP="00B60BE2"/>
          <w:p w14:paraId="0CC72942" w14:textId="77777777" w:rsidR="0067618C" w:rsidRDefault="0067618C" w:rsidP="00B60BE2"/>
          <w:p w14:paraId="0B5FFD42" w14:textId="5127BE71" w:rsidR="00B60BE2" w:rsidRPr="00672027" w:rsidRDefault="00B60BE2" w:rsidP="00B60BE2">
            <w:r w:rsidRPr="00672027">
              <w:t xml:space="preserve">Plasma drug </w:t>
            </w:r>
            <w:r w:rsidR="00990969" w:rsidRPr="00672027">
              <w:t xml:space="preserve"> level to</w:t>
            </w:r>
            <w:r w:rsidRPr="00672027">
              <w:t xml:space="preserve"> return to previous within a week</w:t>
            </w:r>
          </w:p>
        </w:tc>
        <w:tc>
          <w:tcPr>
            <w:tcW w:w="5387" w:type="dxa"/>
          </w:tcPr>
          <w:p w14:paraId="7C837FD9" w14:textId="77777777" w:rsidR="00B60BE2" w:rsidRPr="00672027" w:rsidRDefault="00B60BE2" w:rsidP="00B60BE2">
            <w:r w:rsidRPr="00672027">
              <w:t>Give 50% extra   dose when restarting, and then go back to the original dose weekly.</w:t>
            </w:r>
          </w:p>
          <w:p w14:paraId="5BCCB4D9" w14:textId="77777777" w:rsidR="00B60BE2" w:rsidRPr="00672027" w:rsidRDefault="00B60BE2" w:rsidP="00B60BE2"/>
          <w:p w14:paraId="5742BCFA" w14:textId="77777777" w:rsidR="00B60BE2" w:rsidRPr="00672027" w:rsidRDefault="00B60BE2" w:rsidP="00B60BE2"/>
          <w:p w14:paraId="52A27235" w14:textId="7CC1C2E6" w:rsidR="00B60BE2" w:rsidRPr="00672027" w:rsidRDefault="00B60BE2" w:rsidP="00B60BE2">
            <w:r w:rsidRPr="00672027">
              <w:t xml:space="preserve">Plasma drug </w:t>
            </w:r>
            <w:r w:rsidR="00F17C43" w:rsidRPr="00672027">
              <w:t xml:space="preserve">levels </w:t>
            </w:r>
            <w:r w:rsidR="00990969" w:rsidRPr="00672027">
              <w:t xml:space="preserve"> to </w:t>
            </w:r>
            <w:r w:rsidR="00F17C43" w:rsidRPr="00672027">
              <w:t>return</w:t>
            </w:r>
            <w:r w:rsidRPr="00672027">
              <w:t xml:space="preserve"> to previous within a week or two</w:t>
            </w:r>
          </w:p>
          <w:p w14:paraId="3D044C9F" w14:textId="77777777" w:rsidR="0032005B" w:rsidRPr="00672027" w:rsidRDefault="0032005B" w:rsidP="00B60BE2"/>
          <w:p w14:paraId="68FC42C8" w14:textId="77777777" w:rsidR="0032005B" w:rsidRPr="00672027" w:rsidRDefault="0032005B" w:rsidP="00B60BE2"/>
          <w:p w14:paraId="19325C3F" w14:textId="313F7725" w:rsidR="0032005B" w:rsidRPr="00672027" w:rsidRDefault="002351CF" w:rsidP="0032005B">
            <w:r w:rsidRPr="00672027">
              <w:t>I</w:t>
            </w:r>
            <w:r w:rsidR="0032005B" w:rsidRPr="00672027">
              <w:t xml:space="preserve">f this </w:t>
            </w:r>
            <w:r w:rsidR="00C90477" w:rsidRPr="00672027">
              <w:t>is above</w:t>
            </w:r>
            <w:r w:rsidR="0032005B" w:rsidRPr="00672027">
              <w:t xml:space="preserve"> 100% BNF max please discuss with </w:t>
            </w:r>
            <w:r w:rsidR="00254F9F" w:rsidRPr="00672027">
              <w:t xml:space="preserve">the </w:t>
            </w:r>
            <w:r w:rsidR="0032005B" w:rsidRPr="00672027">
              <w:t>Consultant Psychiatrist.</w:t>
            </w:r>
          </w:p>
          <w:p w14:paraId="7C282945" w14:textId="77777777" w:rsidR="0032005B" w:rsidRPr="00672027" w:rsidRDefault="0032005B" w:rsidP="00B60BE2"/>
          <w:p w14:paraId="36589BFC" w14:textId="2B492624" w:rsidR="00990969" w:rsidRPr="00672027" w:rsidRDefault="00990969" w:rsidP="00254F9F">
            <w:r w:rsidRPr="00672027">
              <w:t>If more than 27 days has elapsed since the last dose contact pharmacy.</w:t>
            </w:r>
          </w:p>
        </w:tc>
      </w:tr>
      <w:tr w:rsidR="00B60BE2" w14:paraId="134DB3A8" w14:textId="77777777" w:rsidTr="0067618C">
        <w:tc>
          <w:tcPr>
            <w:tcW w:w="3545" w:type="dxa"/>
          </w:tcPr>
          <w:p w14:paraId="3BAD998D" w14:textId="77777777" w:rsidR="00B60BE2" w:rsidRPr="006612FB" w:rsidRDefault="00B60BE2" w:rsidP="00B60BE2">
            <w:pPr>
              <w:rPr>
                <w:b/>
                <w:sz w:val="28"/>
                <w:szCs w:val="28"/>
                <w:u w:val="single"/>
              </w:rPr>
            </w:pPr>
            <w:r w:rsidRPr="006612FB">
              <w:rPr>
                <w:b/>
                <w:sz w:val="28"/>
                <w:szCs w:val="28"/>
                <w:u w:val="single"/>
              </w:rPr>
              <w:t xml:space="preserve">Haloperidol Decanoate </w:t>
            </w:r>
          </w:p>
          <w:p w14:paraId="0DE88115" w14:textId="77777777" w:rsidR="00B60BE2" w:rsidRPr="006612FB" w:rsidRDefault="00B60BE2" w:rsidP="00B60BE2">
            <w:pPr>
              <w:rPr>
                <w:b/>
                <w:sz w:val="28"/>
                <w:szCs w:val="28"/>
                <w:u w:val="single"/>
              </w:rPr>
            </w:pPr>
          </w:p>
          <w:p w14:paraId="2BACAFBD" w14:textId="40C98378" w:rsidR="00B60BE2" w:rsidRPr="006612FB" w:rsidRDefault="00B60BE2" w:rsidP="00B60BE2">
            <w:pPr>
              <w:rPr>
                <w:b/>
                <w:sz w:val="28"/>
                <w:szCs w:val="28"/>
                <w:u w:val="single"/>
              </w:rPr>
            </w:pPr>
            <w:r w:rsidRPr="006612FB">
              <w:rPr>
                <w:b/>
                <w:sz w:val="28"/>
                <w:szCs w:val="28"/>
                <w:u w:val="single"/>
              </w:rPr>
              <w:t xml:space="preserve">Pipotiazine Palmitate </w:t>
            </w:r>
            <w:r w:rsidRPr="006612FB">
              <w:rPr>
                <w:b/>
                <w:sz w:val="28"/>
                <w:szCs w:val="28"/>
              </w:rPr>
              <w:t>(Discontinued in UK)</w:t>
            </w:r>
          </w:p>
          <w:p w14:paraId="1ADEA67A" w14:textId="77777777" w:rsidR="00B60BE2" w:rsidRPr="006612FB" w:rsidRDefault="00B60BE2" w:rsidP="00B60BE2">
            <w:pPr>
              <w:rPr>
                <w:b/>
                <w:sz w:val="28"/>
                <w:szCs w:val="28"/>
                <w:u w:val="single"/>
              </w:rPr>
            </w:pPr>
          </w:p>
          <w:p w14:paraId="6AA54E5D" w14:textId="2F70E328" w:rsidR="00B60BE2" w:rsidRPr="006612FB" w:rsidRDefault="00B60BE2" w:rsidP="00B60BE2">
            <w:pPr>
              <w:rPr>
                <w:b/>
                <w:sz w:val="28"/>
                <w:szCs w:val="28"/>
                <w:u w:val="single"/>
              </w:rPr>
            </w:pPr>
            <w:r w:rsidRPr="006612FB">
              <w:rPr>
                <w:b/>
                <w:sz w:val="28"/>
                <w:szCs w:val="28"/>
                <w:u w:val="single"/>
              </w:rPr>
              <w:t xml:space="preserve">Fluphenazine Decanoate </w:t>
            </w:r>
            <w:r w:rsidRPr="006612FB">
              <w:rPr>
                <w:b/>
                <w:sz w:val="28"/>
                <w:szCs w:val="28"/>
              </w:rPr>
              <w:lastRenderedPageBreak/>
              <w:t>(Discontinued in UK)</w:t>
            </w:r>
          </w:p>
        </w:tc>
        <w:tc>
          <w:tcPr>
            <w:tcW w:w="2551" w:type="dxa"/>
          </w:tcPr>
          <w:p w14:paraId="62BC40E4" w14:textId="77777777" w:rsidR="00B60BE2" w:rsidRPr="00672027" w:rsidRDefault="00B60BE2" w:rsidP="00672027">
            <w:r w:rsidRPr="00672027">
              <w:lastRenderedPageBreak/>
              <w:t>A dose can be given a day or two early or late without significant effects on plasma levels</w:t>
            </w:r>
          </w:p>
          <w:p w14:paraId="391905AA" w14:textId="76B966C3" w:rsidR="00533D69" w:rsidRPr="00672027" w:rsidRDefault="00533D69" w:rsidP="00672027">
            <w:r w:rsidRPr="00672027">
              <w:t>If missing a week</w:t>
            </w:r>
            <w:r w:rsidR="00B60BE2" w:rsidRPr="00672027">
              <w:t>, give the next dose due on the</w:t>
            </w:r>
            <w:r w:rsidRPr="00672027">
              <w:t xml:space="preserve"> schedule date but add 50-75% (</w:t>
            </w:r>
            <w:r w:rsidR="00B60BE2" w:rsidRPr="00672027">
              <w:t xml:space="preserve">within licenced </w:t>
            </w:r>
            <w:r w:rsidR="00B60BE2" w:rsidRPr="00672027">
              <w:lastRenderedPageBreak/>
              <w:t>limit, then revert to normal dose a week after that.</w:t>
            </w:r>
            <w:r w:rsidRPr="00672027">
              <w:t xml:space="preserve"> If this</w:t>
            </w:r>
            <w:r w:rsidR="00C90477" w:rsidRPr="00672027">
              <w:t xml:space="preserve"> is</w:t>
            </w:r>
            <w:r w:rsidRPr="00672027">
              <w:t xml:space="preserve"> </w:t>
            </w:r>
            <w:r w:rsidR="00C90477" w:rsidRPr="00672027">
              <w:t>above</w:t>
            </w:r>
            <w:r w:rsidRPr="00672027">
              <w:t xml:space="preserve"> 100% BNF max please discuss with </w:t>
            </w:r>
            <w:r w:rsidR="00254F9F" w:rsidRPr="00672027">
              <w:t xml:space="preserve">the </w:t>
            </w:r>
            <w:r w:rsidRPr="00672027">
              <w:t>Consultant Psychiatrist.</w:t>
            </w:r>
          </w:p>
          <w:p w14:paraId="6B125560" w14:textId="77777777" w:rsidR="00B60BE2" w:rsidRPr="00672027" w:rsidRDefault="00B60BE2" w:rsidP="00B60BE2"/>
        </w:tc>
        <w:tc>
          <w:tcPr>
            <w:tcW w:w="3084" w:type="dxa"/>
          </w:tcPr>
          <w:p w14:paraId="60989967" w14:textId="366116A1" w:rsidR="00533D69" w:rsidRPr="00672027" w:rsidRDefault="00B60BE2" w:rsidP="00B60BE2">
            <w:r w:rsidRPr="00672027">
              <w:lastRenderedPageBreak/>
              <w:t>Start again with next dose due (3/52 after last</w:t>
            </w:r>
            <w:r w:rsidR="00533D69" w:rsidRPr="00672027">
              <w:t xml:space="preserve"> dose given) at double the dose</w:t>
            </w:r>
            <w:r w:rsidRPr="00672027">
              <w:t xml:space="preserve">, </w:t>
            </w:r>
            <w:r w:rsidR="00533D69" w:rsidRPr="00672027">
              <w:t>and then</w:t>
            </w:r>
            <w:r w:rsidRPr="00672027">
              <w:t xml:space="preserve"> revert to normal dose.</w:t>
            </w:r>
          </w:p>
          <w:p w14:paraId="528D5265" w14:textId="77777777" w:rsidR="00533D69" w:rsidRPr="00672027" w:rsidRDefault="00533D69" w:rsidP="00B60BE2"/>
          <w:p w14:paraId="396228F4" w14:textId="5DB3009A" w:rsidR="00B60BE2" w:rsidRPr="00672027" w:rsidRDefault="00533D69" w:rsidP="00C90477">
            <w:r w:rsidRPr="00672027">
              <w:t xml:space="preserve">If this </w:t>
            </w:r>
            <w:r w:rsidR="00C90477" w:rsidRPr="00672027">
              <w:t>is above</w:t>
            </w:r>
            <w:r w:rsidRPr="00672027">
              <w:t xml:space="preserve"> over 100% BNF max please discuss with </w:t>
            </w:r>
            <w:r w:rsidR="00254F9F" w:rsidRPr="00672027">
              <w:t xml:space="preserve">the </w:t>
            </w:r>
            <w:r w:rsidRPr="00672027">
              <w:t>Consultant Psychiatrist.</w:t>
            </w:r>
          </w:p>
        </w:tc>
        <w:tc>
          <w:tcPr>
            <w:tcW w:w="5387" w:type="dxa"/>
          </w:tcPr>
          <w:p w14:paraId="05C9F3D5" w14:textId="77777777" w:rsidR="00B60BE2" w:rsidRPr="00672027" w:rsidRDefault="00B60BE2" w:rsidP="00B60BE2">
            <w:r w:rsidRPr="00672027">
              <w:t>Start again with next dose due ( 3/52 after last dose given) at double the dose</w:t>
            </w:r>
          </w:p>
          <w:p w14:paraId="2F9BE807" w14:textId="77777777" w:rsidR="00B60BE2" w:rsidRPr="00672027" w:rsidRDefault="00B60BE2" w:rsidP="00B60BE2"/>
          <w:p w14:paraId="558F9C82" w14:textId="3E83FB88" w:rsidR="00B60BE2" w:rsidRPr="00672027" w:rsidRDefault="00B60BE2" w:rsidP="00B60BE2">
            <w:r w:rsidRPr="00672027">
              <w:t>The subsequent do</w:t>
            </w:r>
            <w:r w:rsidR="0044740C" w:rsidRPr="00672027">
              <w:t>s</w:t>
            </w:r>
            <w:r w:rsidRPr="00672027">
              <w:t>e can have up t</w:t>
            </w:r>
            <w:r w:rsidR="00533D69" w:rsidRPr="00672027">
              <w:t xml:space="preserve">o 25% added if felt clinically </w:t>
            </w:r>
            <w:r w:rsidR="005B684A" w:rsidRPr="00672027">
              <w:t>necessary</w:t>
            </w:r>
            <w:r w:rsidRPr="00672027">
              <w:t>, then revert to  the normal dose</w:t>
            </w:r>
            <w:r w:rsidR="00533D69" w:rsidRPr="00672027">
              <w:t>.</w:t>
            </w:r>
          </w:p>
          <w:p w14:paraId="5CA14098" w14:textId="77777777" w:rsidR="00533D69" w:rsidRPr="00672027" w:rsidRDefault="00533D69" w:rsidP="00B60BE2"/>
          <w:p w14:paraId="0B21307C" w14:textId="6AE3E4B5" w:rsidR="00533D69" w:rsidRPr="00672027" w:rsidRDefault="00533D69" w:rsidP="00C90477">
            <w:r w:rsidRPr="00672027">
              <w:t xml:space="preserve">If this </w:t>
            </w:r>
            <w:r w:rsidR="00C90477" w:rsidRPr="00672027">
              <w:t>is above</w:t>
            </w:r>
            <w:r w:rsidRPr="00672027">
              <w:t xml:space="preserve"> 100% BNF max please discuss with</w:t>
            </w:r>
            <w:r w:rsidR="00254F9F" w:rsidRPr="00672027">
              <w:t xml:space="preserve"> the </w:t>
            </w:r>
            <w:r w:rsidRPr="00672027">
              <w:t>Consultant Psychiatrist</w:t>
            </w:r>
          </w:p>
        </w:tc>
      </w:tr>
    </w:tbl>
    <w:p w14:paraId="528F1C20" w14:textId="5736E35F" w:rsidR="00F17C43" w:rsidRDefault="00F17C43" w:rsidP="00AB5420">
      <w:pPr>
        <w:tabs>
          <w:tab w:val="left" w:pos="1066"/>
        </w:tabs>
        <w:spacing w:line="240" w:lineRule="auto"/>
        <w:rPr>
          <w:b/>
          <w:sz w:val="28"/>
          <w:szCs w:val="28"/>
          <w:highlight w:val="yellow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328"/>
        <w:tblW w:w="14992" w:type="dxa"/>
        <w:tblLook w:val="04A0" w:firstRow="1" w:lastRow="0" w:firstColumn="1" w:lastColumn="0" w:noHBand="0" w:noVBand="1"/>
      </w:tblPr>
      <w:tblGrid>
        <w:gridCol w:w="3545"/>
        <w:gridCol w:w="2551"/>
        <w:gridCol w:w="3084"/>
        <w:gridCol w:w="5812"/>
      </w:tblGrid>
      <w:tr w:rsidR="00AB5420" w:rsidRPr="00AC41E1" w14:paraId="5C2E237C" w14:textId="77777777" w:rsidTr="00AB5420">
        <w:trPr>
          <w:trHeight w:val="416"/>
        </w:trPr>
        <w:tc>
          <w:tcPr>
            <w:tcW w:w="14992" w:type="dxa"/>
            <w:gridSpan w:val="4"/>
            <w:shd w:val="clear" w:color="auto" w:fill="95B3D7" w:themeFill="accent1" w:themeFillTint="99"/>
          </w:tcPr>
          <w:p w14:paraId="1D29805D" w14:textId="77777777" w:rsidR="00AB5420" w:rsidRPr="001E421A" w:rsidRDefault="00AB5420" w:rsidP="00AB5420">
            <w:pPr>
              <w:jc w:val="center"/>
              <w:rPr>
                <w:b/>
                <w:sz w:val="28"/>
                <w:szCs w:val="28"/>
              </w:rPr>
            </w:pPr>
            <w:r w:rsidRPr="00890EBF">
              <w:rPr>
                <w:b/>
                <w:sz w:val="28"/>
                <w:szCs w:val="28"/>
                <w:highlight w:val="yellow"/>
              </w:rPr>
              <w:t>FORTNIGHTLY (EVERY TWO WEEKS) DEPOT INJECTION</w:t>
            </w:r>
          </w:p>
        </w:tc>
      </w:tr>
      <w:tr w:rsidR="00AB5420" w:rsidRPr="00AC41E1" w14:paraId="03C9CB5D" w14:textId="77777777" w:rsidTr="0067618C">
        <w:trPr>
          <w:trHeight w:val="848"/>
        </w:trPr>
        <w:tc>
          <w:tcPr>
            <w:tcW w:w="3545" w:type="dxa"/>
            <w:shd w:val="clear" w:color="auto" w:fill="95B3D7" w:themeFill="accent1" w:themeFillTint="99"/>
          </w:tcPr>
          <w:p w14:paraId="7114329F" w14:textId="77777777" w:rsidR="00AB5420" w:rsidRPr="001E421A" w:rsidRDefault="00AB5420" w:rsidP="00AB5420">
            <w:pPr>
              <w:jc w:val="center"/>
              <w:rPr>
                <w:b/>
                <w:sz w:val="28"/>
                <w:szCs w:val="28"/>
              </w:rPr>
            </w:pPr>
            <w:r w:rsidRPr="001E421A">
              <w:rPr>
                <w:b/>
                <w:sz w:val="28"/>
                <w:szCs w:val="28"/>
              </w:rPr>
              <w:t>Generic Drug Name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14:paraId="2EE6F127" w14:textId="77777777" w:rsidR="00AB5420" w:rsidRPr="00672027" w:rsidRDefault="00AB5420" w:rsidP="00AB5420">
            <w:pPr>
              <w:jc w:val="center"/>
              <w:rPr>
                <w:b/>
                <w:sz w:val="28"/>
                <w:szCs w:val="28"/>
              </w:rPr>
            </w:pPr>
            <w:r w:rsidRPr="00672027">
              <w:rPr>
                <w:b/>
                <w:sz w:val="28"/>
                <w:szCs w:val="28"/>
              </w:rPr>
              <w:t>Missed ONE dose</w:t>
            </w:r>
          </w:p>
          <w:p w14:paraId="6CBE3484" w14:textId="77777777" w:rsidR="00AB5420" w:rsidRPr="00672027" w:rsidRDefault="00AB5420" w:rsidP="00AB5420">
            <w:pPr>
              <w:jc w:val="center"/>
              <w:rPr>
                <w:b/>
                <w:sz w:val="28"/>
                <w:szCs w:val="28"/>
              </w:rPr>
            </w:pPr>
            <w:r w:rsidRPr="00672027">
              <w:rPr>
                <w:b/>
                <w:sz w:val="28"/>
                <w:szCs w:val="28"/>
              </w:rPr>
              <w:t>(i.e. 14- 27 days  last dose)</w:t>
            </w:r>
          </w:p>
        </w:tc>
        <w:tc>
          <w:tcPr>
            <w:tcW w:w="3084" w:type="dxa"/>
            <w:shd w:val="clear" w:color="auto" w:fill="95B3D7" w:themeFill="accent1" w:themeFillTint="99"/>
          </w:tcPr>
          <w:p w14:paraId="57F19381" w14:textId="77777777" w:rsidR="00AB5420" w:rsidRPr="00672027" w:rsidRDefault="00AB5420" w:rsidP="00AB5420">
            <w:pPr>
              <w:jc w:val="center"/>
              <w:rPr>
                <w:b/>
                <w:sz w:val="28"/>
                <w:szCs w:val="28"/>
              </w:rPr>
            </w:pPr>
            <w:r w:rsidRPr="00672027">
              <w:rPr>
                <w:b/>
                <w:sz w:val="28"/>
                <w:szCs w:val="28"/>
              </w:rPr>
              <w:t>Missed TWO doses</w:t>
            </w:r>
          </w:p>
          <w:p w14:paraId="69B496E6" w14:textId="77777777" w:rsidR="00AB5420" w:rsidRPr="00672027" w:rsidRDefault="00AB5420" w:rsidP="00AB5420">
            <w:pPr>
              <w:jc w:val="center"/>
              <w:rPr>
                <w:b/>
                <w:sz w:val="28"/>
                <w:szCs w:val="28"/>
              </w:rPr>
            </w:pPr>
            <w:r w:rsidRPr="00672027">
              <w:rPr>
                <w:b/>
                <w:sz w:val="28"/>
                <w:szCs w:val="28"/>
              </w:rPr>
              <w:t>i.e. 28-41 days since last dose</w:t>
            </w:r>
          </w:p>
        </w:tc>
        <w:tc>
          <w:tcPr>
            <w:tcW w:w="5812" w:type="dxa"/>
            <w:shd w:val="clear" w:color="auto" w:fill="95B3D7" w:themeFill="accent1" w:themeFillTint="99"/>
          </w:tcPr>
          <w:p w14:paraId="500DE9FE" w14:textId="77777777" w:rsidR="00AB5420" w:rsidRPr="00672027" w:rsidRDefault="00AB5420" w:rsidP="00AB5420">
            <w:pPr>
              <w:jc w:val="center"/>
              <w:rPr>
                <w:b/>
                <w:sz w:val="28"/>
                <w:szCs w:val="28"/>
              </w:rPr>
            </w:pPr>
            <w:r w:rsidRPr="00672027">
              <w:rPr>
                <w:b/>
                <w:sz w:val="28"/>
                <w:szCs w:val="28"/>
              </w:rPr>
              <w:t>Missed THREE or more doses</w:t>
            </w:r>
          </w:p>
          <w:p w14:paraId="40D69974" w14:textId="77777777" w:rsidR="00AB5420" w:rsidRPr="00672027" w:rsidRDefault="00AB5420" w:rsidP="00AB5420">
            <w:pPr>
              <w:jc w:val="center"/>
              <w:rPr>
                <w:b/>
                <w:sz w:val="28"/>
                <w:szCs w:val="28"/>
              </w:rPr>
            </w:pPr>
            <w:r w:rsidRPr="00672027">
              <w:rPr>
                <w:b/>
                <w:sz w:val="28"/>
                <w:szCs w:val="28"/>
              </w:rPr>
              <w:t>(i.e. more than 42 days since last dose)</w:t>
            </w:r>
          </w:p>
        </w:tc>
      </w:tr>
      <w:tr w:rsidR="00AB5420" w14:paraId="6DDCE542" w14:textId="77777777" w:rsidTr="0067618C">
        <w:tc>
          <w:tcPr>
            <w:tcW w:w="3545" w:type="dxa"/>
          </w:tcPr>
          <w:p w14:paraId="6F8B688D" w14:textId="77777777" w:rsidR="00AB5420" w:rsidRPr="006612FB" w:rsidRDefault="00AB5420" w:rsidP="00AB5420">
            <w:pPr>
              <w:rPr>
                <w:b/>
                <w:sz w:val="28"/>
                <w:szCs w:val="28"/>
                <w:u w:val="single"/>
              </w:rPr>
            </w:pPr>
            <w:r w:rsidRPr="006612FB">
              <w:rPr>
                <w:b/>
                <w:sz w:val="28"/>
                <w:szCs w:val="28"/>
                <w:u w:val="single"/>
              </w:rPr>
              <w:t>Flupentixol Decanoate</w:t>
            </w:r>
          </w:p>
          <w:p w14:paraId="5236EB26" w14:textId="77777777" w:rsidR="00AB5420" w:rsidRPr="006612FB" w:rsidRDefault="00AB5420" w:rsidP="00AB5420">
            <w:pPr>
              <w:rPr>
                <w:b/>
                <w:sz w:val="28"/>
                <w:szCs w:val="28"/>
                <w:u w:val="single"/>
              </w:rPr>
            </w:pPr>
          </w:p>
          <w:p w14:paraId="1FE7E972" w14:textId="77777777" w:rsidR="00AB5420" w:rsidRPr="006612FB" w:rsidRDefault="00AB5420" w:rsidP="00AB5420">
            <w:pPr>
              <w:rPr>
                <w:b/>
                <w:sz w:val="28"/>
                <w:szCs w:val="28"/>
                <w:u w:val="single"/>
              </w:rPr>
            </w:pPr>
            <w:r w:rsidRPr="006612FB">
              <w:rPr>
                <w:b/>
                <w:sz w:val="28"/>
                <w:szCs w:val="28"/>
                <w:u w:val="single"/>
              </w:rPr>
              <w:t xml:space="preserve">Zuclopentixol Decanoate </w:t>
            </w:r>
          </w:p>
          <w:p w14:paraId="1EF38FAF" w14:textId="77777777" w:rsidR="00AB5420" w:rsidRPr="001E421A" w:rsidRDefault="00AB5420" w:rsidP="00AB5420">
            <w:pPr>
              <w:rPr>
                <w:b/>
                <w:sz w:val="28"/>
                <w:szCs w:val="28"/>
              </w:rPr>
            </w:pPr>
          </w:p>
          <w:p w14:paraId="00DBFB2E" w14:textId="77777777" w:rsidR="00AB5420" w:rsidRPr="001E421A" w:rsidRDefault="00AB5420" w:rsidP="00AB542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23FB595" w14:textId="77777777" w:rsidR="00AB5420" w:rsidRPr="00672027" w:rsidRDefault="00AB5420" w:rsidP="00AB5420">
            <w:r w:rsidRPr="00672027">
              <w:t>Give the missed dose a week late (i.e. this will be 21 days after the previous injection).  Then prescribe the depot injection every fortnight from this new date.</w:t>
            </w:r>
          </w:p>
          <w:p w14:paraId="3125CC81" w14:textId="77777777" w:rsidR="00AB5420" w:rsidRPr="00672027" w:rsidRDefault="00AB5420" w:rsidP="00AB5420"/>
          <w:p w14:paraId="6C453C09" w14:textId="77777777" w:rsidR="00AB5420" w:rsidRPr="00672027" w:rsidRDefault="00AB5420" w:rsidP="00AB5420"/>
          <w:p w14:paraId="371D0764" w14:textId="77777777" w:rsidR="00AB5420" w:rsidRPr="00672027" w:rsidRDefault="00AB5420" w:rsidP="00AB5420">
            <w:r w:rsidRPr="00672027">
              <w:rPr>
                <w:b/>
              </w:rPr>
              <w:t>Or</w:t>
            </w:r>
            <w:r w:rsidRPr="00672027">
              <w:t>: add (up to) 50% to the next due fortnightly dose (i.e. 28 days after the last dose was given).</w:t>
            </w:r>
          </w:p>
          <w:p w14:paraId="6FB14897" w14:textId="77777777" w:rsidR="00AB5420" w:rsidRPr="00672027" w:rsidRDefault="00AB5420" w:rsidP="00AB5420">
            <w:r w:rsidRPr="00672027">
              <w:t xml:space="preserve">The dose chosen will need to consider licenced limits. If this is above 100% BNF max please discuss with the </w:t>
            </w:r>
            <w:r w:rsidRPr="00672027">
              <w:lastRenderedPageBreak/>
              <w:t>Consultant Psychiatrist.</w:t>
            </w:r>
          </w:p>
          <w:p w14:paraId="7F3AAAB5" w14:textId="77777777" w:rsidR="00AB5420" w:rsidRPr="00672027" w:rsidRDefault="00AB5420" w:rsidP="00AB5420"/>
          <w:p w14:paraId="00DE0D1F" w14:textId="77777777" w:rsidR="00AB5420" w:rsidRPr="00672027" w:rsidRDefault="00AB5420" w:rsidP="0067618C"/>
        </w:tc>
        <w:tc>
          <w:tcPr>
            <w:tcW w:w="3084" w:type="dxa"/>
          </w:tcPr>
          <w:p w14:paraId="565D1B7A" w14:textId="77777777" w:rsidR="00AB5420" w:rsidRPr="00672027" w:rsidRDefault="00AB5420" w:rsidP="00AB5420">
            <w:r w:rsidRPr="00672027">
              <w:lastRenderedPageBreak/>
              <w:t>Add 50% to the dose last given.</w:t>
            </w:r>
          </w:p>
          <w:p w14:paraId="4CF3F641" w14:textId="77777777" w:rsidR="00AB5420" w:rsidRPr="00672027" w:rsidRDefault="00AB5420" w:rsidP="00AB5420">
            <w:r w:rsidRPr="00672027">
              <w:t>If this is above 100% BNF max please discuss with the Consultant Psychiatrist.</w:t>
            </w:r>
          </w:p>
          <w:p w14:paraId="463AFAC6" w14:textId="77777777" w:rsidR="00AB5420" w:rsidRDefault="00AB5420" w:rsidP="00AB5420"/>
          <w:p w14:paraId="66CA9470" w14:textId="77777777" w:rsidR="0067618C" w:rsidRPr="00672027" w:rsidRDefault="0067618C" w:rsidP="00AB5420"/>
          <w:p w14:paraId="5FB34BA1" w14:textId="77777777" w:rsidR="00AB5420" w:rsidRPr="00672027" w:rsidRDefault="00AB5420" w:rsidP="00AB5420">
            <w:r w:rsidRPr="00672027">
              <w:t xml:space="preserve">If needed top up with oral supplementation if required. </w:t>
            </w:r>
          </w:p>
        </w:tc>
        <w:tc>
          <w:tcPr>
            <w:tcW w:w="5812" w:type="dxa"/>
          </w:tcPr>
          <w:p w14:paraId="7C694730" w14:textId="77777777" w:rsidR="00AB5420" w:rsidRDefault="00AB5420" w:rsidP="00AB5420">
            <w:r>
              <w:t>Start again but there should be no need for a test dose. NB: oral or alternative antipsychotic management may be required during this time</w:t>
            </w:r>
          </w:p>
        </w:tc>
      </w:tr>
      <w:tr w:rsidR="00AB5420" w14:paraId="09442E46" w14:textId="77777777" w:rsidTr="0067618C">
        <w:tc>
          <w:tcPr>
            <w:tcW w:w="3545" w:type="dxa"/>
          </w:tcPr>
          <w:p w14:paraId="4E5419AD" w14:textId="77777777" w:rsidR="00AB5420" w:rsidRPr="00EC2409" w:rsidRDefault="00AB5420" w:rsidP="00AB5420">
            <w:pPr>
              <w:rPr>
                <w:b/>
                <w:sz w:val="28"/>
                <w:szCs w:val="28"/>
                <w:u w:val="single"/>
              </w:rPr>
            </w:pPr>
            <w:r w:rsidRPr="00EC2409">
              <w:rPr>
                <w:b/>
                <w:sz w:val="28"/>
                <w:szCs w:val="28"/>
                <w:u w:val="single"/>
              </w:rPr>
              <w:lastRenderedPageBreak/>
              <w:t xml:space="preserve">Haloperidol Decanoate </w:t>
            </w:r>
          </w:p>
          <w:p w14:paraId="0B69CFB4" w14:textId="77777777" w:rsidR="00AB5420" w:rsidRPr="00EC2409" w:rsidRDefault="00AB5420" w:rsidP="00AB5420">
            <w:pPr>
              <w:rPr>
                <w:b/>
                <w:sz w:val="28"/>
                <w:szCs w:val="28"/>
                <w:u w:val="single"/>
              </w:rPr>
            </w:pPr>
          </w:p>
          <w:p w14:paraId="7551D54C" w14:textId="77777777" w:rsidR="00AB5420" w:rsidRPr="00EC2409" w:rsidRDefault="00AB5420" w:rsidP="00AB5420">
            <w:pPr>
              <w:rPr>
                <w:b/>
                <w:sz w:val="28"/>
                <w:szCs w:val="28"/>
                <w:u w:val="single"/>
              </w:rPr>
            </w:pPr>
            <w:r w:rsidRPr="00EC2409">
              <w:rPr>
                <w:b/>
                <w:sz w:val="28"/>
                <w:szCs w:val="28"/>
                <w:u w:val="single"/>
              </w:rPr>
              <w:t xml:space="preserve">Pipotiazine Palmitate </w:t>
            </w:r>
            <w:r w:rsidRPr="00EC2409">
              <w:rPr>
                <w:b/>
                <w:sz w:val="28"/>
                <w:szCs w:val="28"/>
              </w:rPr>
              <w:t>(Discontinued in UK)</w:t>
            </w:r>
          </w:p>
          <w:p w14:paraId="5F70CB8E" w14:textId="77777777" w:rsidR="00AB5420" w:rsidRPr="00EC2409" w:rsidRDefault="00AB5420" w:rsidP="00AB5420">
            <w:pPr>
              <w:rPr>
                <w:b/>
                <w:sz w:val="28"/>
                <w:szCs w:val="28"/>
                <w:u w:val="single"/>
              </w:rPr>
            </w:pPr>
          </w:p>
          <w:p w14:paraId="053DE5AD" w14:textId="77777777" w:rsidR="00AB5420" w:rsidRPr="001E421A" w:rsidRDefault="00AB5420" w:rsidP="00AB5420">
            <w:pPr>
              <w:rPr>
                <w:b/>
                <w:sz w:val="28"/>
                <w:szCs w:val="28"/>
              </w:rPr>
            </w:pPr>
            <w:r w:rsidRPr="00EC2409">
              <w:rPr>
                <w:b/>
                <w:sz w:val="28"/>
                <w:szCs w:val="28"/>
                <w:u w:val="single"/>
              </w:rPr>
              <w:t xml:space="preserve">Fluphenazine Decanoate </w:t>
            </w:r>
            <w:r w:rsidRPr="00EC2409">
              <w:rPr>
                <w:b/>
                <w:sz w:val="28"/>
                <w:szCs w:val="28"/>
              </w:rPr>
              <w:t>(Discontinued in UK)</w:t>
            </w:r>
          </w:p>
        </w:tc>
        <w:tc>
          <w:tcPr>
            <w:tcW w:w="2551" w:type="dxa"/>
          </w:tcPr>
          <w:p w14:paraId="32A0BE38" w14:textId="77777777" w:rsidR="00AB5420" w:rsidRDefault="00AB5420" w:rsidP="00AB5420">
            <w:r>
              <w:t>Start again with the next dose plus (up to) about 50%, and then revert to the normal dose.</w:t>
            </w:r>
          </w:p>
          <w:p w14:paraId="5BAE2FCD" w14:textId="77777777" w:rsidR="00AB5420" w:rsidRDefault="00AB5420" w:rsidP="00AB5420"/>
          <w:p w14:paraId="446CB3EC" w14:textId="77777777" w:rsidR="00AB5420" w:rsidRDefault="00AB5420" w:rsidP="00AB5420">
            <w:r w:rsidRPr="006612FB">
              <w:rPr>
                <w:b/>
              </w:rPr>
              <w:t>O</w:t>
            </w:r>
            <w:r>
              <w:rPr>
                <w:b/>
              </w:rPr>
              <w:t>r</w:t>
            </w:r>
            <w:r>
              <w:t xml:space="preserve"> </w:t>
            </w:r>
          </w:p>
          <w:p w14:paraId="193F4685" w14:textId="77777777" w:rsidR="00AB5420" w:rsidRDefault="00AB5420" w:rsidP="00AB5420">
            <w:r>
              <w:t xml:space="preserve">Give 50% a week after the missed dose then resume the previous dose on the previous fortnightly routine. </w:t>
            </w:r>
          </w:p>
          <w:p w14:paraId="2B81115E" w14:textId="77777777" w:rsidR="00AB5420" w:rsidRDefault="00AB5420" w:rsidP="00AB5420"/>
          <w:p w14:paraId="11840DB5" w14:textId="77777777" w:rsidR="00AB5420" w:rsidRPr="006612FB" w:rsidRDefault="00AB5420" w:rsidP="00AB5420">
            <w:pPr>
              <w:rPr>
                <w:b/>
              </w:rPr>
            </w:pPr>
            <w:r w:rsidRPr="006612FB">
              <w:rPr>
                <w:b/>
              </w:rPr>
              <w:t>O</w:t>
            </w:r>
            <w:r>
              <w:rPr>
                <w:b/>
              </w:rPr>
              <w:t>r</w:t>
            </w:r>
          </w:p>
          <w:p w14:paraId="120E81F8" w14:textId="77777777" w:rsidR="00AB5420" w:rsidRPr="00FF75C4" w:rsidRDefault="00AB5420" w:rsidP="00AB5420">
            <w:r>
              <w:t xml:space="preserve">Give the full dose up to 6 days late </w:t>
            </w:r>
          </w:p>
        </w:tc>
        <w:tc>
          <w:tcPr>
            <w:tcW w:w="3084" w:type="dxa"/>
          </w:tcPr>
          <w:p w14:paraId="519CB6D3" w14:textId="77777777" w:rsidR="00AB5420" w:rsidRDefault="00AB5420" w:rsidP="00AB5420">
            <w:r>
              <w:t xml:space="preserve">Give the next dose as scheduled plus up to 75% extra (within BNF limits). </w:t>
            </w:r>
          </w:p>
          <w:p w14:paraId="041E8B2E" w14:textId="77777777" w:rsidR="00AB5420" w:rsidRDefault="00AB5420" w:rsidP="00AB5420"/>
          <w:p w14:paraId="04AD70A5" w14:textId="77777777" w:rsidR="0067618C" w:rsidRDefault="0067618C" w:rsidP="00AB5420"/>
          <w:p w14:paraId="22CE24FA" w14:textId="77777777" w:rsidR="00AB5420" w:rsidRDefault="00AB5420" w:rsidP="00AB5420">
            <w:r>
              <w:t xml:space="preserve">Plasma levels should not rise above the previous highest. </w:t>
            </w:r>
          </w:p>
        </w:tc>
        <w:tc>
          <w:tcPr>
            <w:tcW w:w="5812" w:type="dxa"/>
          </w:tcPr>
          <w:p w14:paraId="596D4650" w14:textId="77777777" w:rsidR="00AB5420" w:rsidRDefault="00AB5420" w:rsidP="00AB5420">
            <w:r>
              <w:t xml:space="preserve">Give  the next dose when due , plus extra 75% ( within BNF limits) </w:t>
            </w:r>
          </w:p>
          <w:p w14:paraId="502F4D71" w14:textId="77777777" w:rsidR="00AB5420" w:rsidRDefault="00AB5420" w:rsidP="00AB5420">
            <w:pPr>
              <w:rPr>
                <w:b/>
              </w:rPr>
            </w:pPr>
            <w:r w:rsidRPr="006612FB">
              <w:rPr>
                <w:b/>
              </w:rPr>
              <w:t>Or</w:t>
            </w:r>
          </w:p>
          <w:p w14:paraId="41BAD4D9" w14:textId="77777777" w:rsidR="00AB5420" w:rsidRPr="006612FB" w:rsidRDefault="00AB5420" w:rsidP="00AB5420">
            <w:pPr>
              <w:rPr>
                <w:b/>
              </w:rPr>
            </w:pPr>
          </w:p>
          <w:p w14:paraId="378458C8" w14:textId="77777777" w:rsidR="00AB5420" w:rsidRDefault="00AB5420" w:rsidP="00AB5420">
            <w:r>
              <w:t>If needed to get back to therapeutic plasma levels as soon as possible, restart fortnightly with the original dose, then give an extra 50% a week after the first dose.</w:t>
            </w:r>
          </w:p>
          <w:p w14:paraId="6B4EC33A" w14:textId="77777777" w:rsidR="00AB5420" w:rsidRDefault="00AB5420" w:rsidP="00AB5420"/>
          <w:p w14:paraId="47A4685A" w14:textId="77777777" w:rsidR="00AB5420" w:rsidRDefault="00AB5420" w:rsidP="00AB5420">
            <w:r>
              <w:t xml:space="preserve">Plasma levels will be back to the previous steady in the week after third dose. </w:t>
            </w:r>
          </w:p>
        </w:tc>
      </w:tr>
      <w:tr w:rsidR="00AB5420" w14:paraId="6A4ECF7E" w14:textId="77777777" w:rsidTr="0067618C">
        <w:trPr>
          <w:trHeight w:val="983"/>
        </w:trPr>
        <w:tc>
          <w:tcPr>
            <w:tcW w:w="3545" w:type="dxa"/>
          </w:tcPr>
          <w:p w14:paraId="17AFE449" w14:textId="77777777" w:rsidR="00AB5420" w:rsidRPr="00EC2409" w:rsidRDefault="00AB5420" w:rsidP="00AB5420">
            <w:pPr>
              <w:rPr>
                <w:b/>
                <w:sz w:val="28"/>
                <w:szCs w:val="28"/>
                <w:u w:val="single"/>
              </w:rPr>
            </w:pPr>
            <w:r w:rsidRPr="00EC2409">
              <w:rPr>
                <w:b/>
                <w:sz w:val="28"/>
                <w:szCs w:val="28"/>
                <w:u w:val="single"/>
              </w:rPr>
              <w:t>Risperidone (Risperdal Consta)</w:t>
            </w:r>
          </w:p>
        </w:tc>
        <w:tc>
          <w:tcPr>
            <w:tcW w:w="2551" w:type="dxa"/>
          </w:tcPr>
          <w:p w14:paraId="51D5887B" w14:textId="77777777" w:rsidR="00AB5420" w:rsidRDefault="00AB5420" w:rsidP="00AB5420">
            <w:r>
              <w:t xml:space="preserve">Because of delayed release, a dose can be given as soon as possible and can be continued on fortnightly from that point. </w:t>
            </w:r>
          </w:p>
          <w:p w14:paraId="07E1A6DC" w14:textId="77777777" w:rsidR="00AB5420" w:rsidRDefault="00AB5420" w:rsidP="00AB5420">
            <w:r>
              <w:t xml:space="preserve">Do not give double or give higher doses because this could lead to toxic levels 3-5 weeks later. </w:t>
            </w:r>
          </w:p>
          <w:p w14:paraId="76CB0708" w14:textId="77777777" w:rsidR="00AB5420" w:rsidRDefault="00AB5420" w:rsidP="00AB5420">
            <w:r w:rsidRPr="00672027">
              <w:t>NB: Oral supplementation may be needed  and should be a considered option in the short term</w:t>
            </w:r>
          </w:p>
        </w:tc>
        <w:tc>
          <w:tcPr>
            <w:tcW w:w="3084" w:type="dxa"/>
          </w:tcPr>
          <w:p w14:paraId="65D9B830" w14:textId="77777777" w:rsidR="00AB5420" w:rsidRDefault="00AB5420" w:rsidP="00AB5420"/>
        </w:tc>
        <w:tc>
          <w:tcPr>
            <w:tcW w:w="5812" w:type="dxa"/>
          </w:tcPr>
          <w:p w14:paraId="6C7BF40F" w14:textId="77777777" w:rsidR="00AB5420" w:rsidRDefault="00AB5420" w:rsidP="00AB5420"/>
        </w:tc>
      </w:tr>
    </w:tbl>
    <w:p w14:paraId="72033FB9" w14:textId="77777777" w:rsidR="009677B7" w:rsidRDefault="009677B7" w:rsidP="001E421A">
      <w:pPr>
        <w:tabs>
          <w:tab w:val="left" w:pos="1066"/>
        </w:tabs>
        <w:ind w:left="-709"/>
        <w:rPr>
          <w:b/>
          <w:sz w:val="28"/>
          <w:szCs w:val="28"/>
          <w:highlight w:val="yellow"/>
          <w:u w:val="single"/>
        </w:rPr>
      </w:pPr>
    </w:p>
    <w:tbl>
      <w:tblPr>
        <w:tblStyle w:val="TableGrid2"/>
        <w:tblpPr w:leftFromText="180" w:rightFromText="180" w:vertAnchor="text" w:horzAnchor="page" w:tblpX="905" w:tblpY="9"/>
        <w:tblW w:w="15168" w:type="dxa"/>
        <w:tblLook w:val="04A0" w:firstRow="1" w:lastRow="0" w:firstColumn="1" w:lastColumn="0" w:noHBand="0" w:noVBand="1"/>
      </w:tblPr>
      <w:tblGrid>
        <w:gridCol w:w="3944"/>
        <w:gridCol w:w="2205"/>
        <w:gridCol w:w="3173"/>
        <w:gridCol w:w="5846"/>
      </w:tblGrid>
      <w:tr w:rsidR="00A623D9" w:rsidRPr="00327115" w14:paraId="5229E8C2" w14:textId="4360E0D9" w:rsidTr="000A3B84">
        <w:trPr>
          <w:trHeight w:val="276"/>
        </w:trPr>
        <w:tc>
          <w:tcPr>
            <w:tcW w:w="15168" w:type="dxa"/>
            <w:gridSpan w:val="4"/>
            <w:shd w:val="clear" w:color="auto" w:fill="95B3D7" w:themeFill="accent1" w:themeFillTint="99"/>
          </w:tcPr>
          <w:p w14:paraId="2D41D8E1" w14:textId="4013BB15" w:rsidR="00A623D9" w:rsidRDefault="00A623D9" w:rsidP="000A3B84">
            <w:pPr>
              <w:jc w:val="center"/>
              <w:rPr>
                <w:b/>
                <w:sz w:val="28"/>
                <w:szCs w:val="28"/>
              </w:rPr>
            </w:pPr>
            <w:r w:rsidRPr="00890EBF">
              <w:rPr>
                <w:b/>
                <w:sz w:val="28"/>
                <w:szCs w:val="28"/>
                <w:highlight w:val="yellow"/>
              </w:rPr>
              <w:t>THREE WEEKLY DEPOT INJECTION</w:t>
            </w:r>
          </w:p>
        </w:tc>
      </w:tr>
      <w:tr w:rsidR="00A623D9" w:rsidRPr="00327115" w14:paraId="56EDA159" w14:textId="41A12E31" w:rsidTr="0067618C">
        <w:trPr>
          <w:trHeight w:val="848"/>
        </w:trPr>
        <w:tc>
          <w:tcPr>
            <w:tcW w:w="3944" w:type="dxa"/>
            <w:shd w:val="clear" w:color="auto" w:fill="95B3D7" w:themeFill="accent1" w:themeFillTint="99"/>
          </w:tcPr>
          <w:p w14:paraId="61D4C079" w14:textId="77777777" w:rsidR="00A623D9" w:rsidRPr="00327115" w:rsidRDefault="00A623D9" w:rsidP="000A3B84">
            <w:pPr>
              <w:jc w:val="center"/>
              <w:rPr>
                <w:b/>
                <w:sz w:val="28"/>
                <w:szCs w:val="28"/>
              </w:rPr>
            </w:pPr>
            <w:r w:rsidRPr="00327115">
              <w:rPr>
                <w:b/>
                <w:sz w:val="28"/>
                <w:szCs w:val="28"/>
              </w:rPr>
              <w:t>Generic Drug Name</w:t>
            </w:r>
          </w:p>
        </w:tc>
        <w:tc>
          <w:tcPr>
            <w:tcW w:w="2205" w:type="dxa"/>
            <w:shd w:val="clear" w:color="auto" w:fill="95B3D7" w:themeFill="accent1" w:themeFillTint="99"/>
          </w:tcPr>
          <w:p w14:paraId="24FC84D3" w14:textId="77777777" w:rsidR="00A623D9" w:rsidRPr="00672027" w:rsidRDefault="00A623D9" w:rsidP="000A3B84">
            <w:pPr>
              <w:rPr>
                <w:b/>
                <w:sz w:val="28"/>
                <w:szCs w:val="28"/>
              </w:rPr>
            </w:pPr>
            <w:r w:rsidRPr="00672027">
              <w:rPr>
                <w:b/>
                <w:sz w:val="28"/>
                <w:szCs w:val="28"/>
              </w:rPr>
              <w:t xml:space="preserve">Dose 1 week late </w:t>
            </w:r>
          </w:p>
          <w:p w14:paraId="39E8C5B0" w14:textId="09B9463F" w:rsidR="00A623D9" w:rsidRPr="00672027" w:rsidRDefault="00A623D9" w:rsidP="000A3B84">
            <w:pPr>
              <w:rPr>
                <w:b/>
                <w:sz w:val="28"/>
                <w:szCs w:val="28"/>
              </w:rPr>
            </w:pPr>
            <w:r w:rsidRPr="00672027">
              <w:rPr>
                <w:b/>
                <w:sz w:val="28"/>
                <w:szCs w:val="28"/>
              </w:rPr>
              <w:t>(i.e. 21-27 days since last dose)</w:t>
            </w:r>
          </w:p>
        </w:tc>
        <w:tc>
          <w:tcPr>
            <w:tcW w:w="3173" w:type="dxa"/>
            <w:shd w:val="clear" w:color="auto" w:fill="95B3D7" w:themeFill="accent1" w:themeFillTint="99"/>
          </w:tcPr>
          <w:p w14:paraId="44A68FCA" w14:textId="77777777" w:rsidR="00A623D9" w:rsidRPr="00672027" w:rsidRDefault="00A623D9" w:rsidP="000A3B84">
            <w:pPr>
              <w:jc w:val="center"/>
              <w:rPr>
                <w:b/>
                <w:sz w:val="28"/>
                <w:szCs w:val="28"/>
              </w:rPr>
            </w:pPr>
            <w:r w:rsidRPr="00672027">
              <w:rPr>
                <w:b/>
                <w:sz w:val="28"/>
                <w:szCs w:val="28"/>
              </w:rPr>
              <w:t>Dose 2 week late</w:t>
            </w:r>
          </w:p>
          <w:p w14:paraId="31F4C1B6" w14:textId="37BAFD32" w:rsidR="00A623D9" w:rsidRPr="00672027" w:rsidRDefault="00A623D9" w:rsidP="000A3B84">
            <w:pPr>
              <w:jc w:val="center"/>
              <w:rPr>
                <w:b/>
                <w:sz w:val="28"/>
                <w:szCs w:val="28"/>
              </w:rPr>
            </w:pPr>
            <w:r w:rsidRPr="00672027">
              <w:rPr>
                <w:b/>
                <w:sz w:val="28"/>
                <w:szCs w:val="28"/>
              </w:rPr>
              <w:t>(i.e. 28</w:t>
            </w:r>
            <w:r w:rsidR="005B684A" w:rsidRPr="00672027">
              <w:rPr>
                <w:b/>
                <w:sz w:val="28"/>
                <w:szCs w:val="28"/>
              </w:rPr>
              <w:t xml:space="preserve"> days since last injection )</w:t>
            </w:r>
            <w:r w:rsidRPr="006720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46" w:type="dxa"/>
            <w:shd w:val="clear" w:color="auto" w:fill="95B3D7" w:themeFill="accent1" w:themeFillTint="99"/>
          </w:tcPr>
          <w:p w14:paraId="15B8359E" w14:textId="05E5D0EB" w:rsidR="00A623D9" w:rsidRPr="00327115" w:rsidRDefault="00E45D3F" w:rsidP="000A3B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Dose 29 days late or more</w:t>
            </w:r>
          </w:p>
        </w:tc>
      </w:tr>
      <w:tr w:rsidR="00A623D9" w:rsidRPr="00327115" w14:paraId="2F8291CA" w14:textId="4B103B8F" w:rsidTr="0067618C">
        <w:tc>
          <w:tcPr>
            <w:tcW w:w="3944" w:type="dxa"/>
          </w:tcPr>
          <w:p w14:paraId="7553C0F3" w14:textId="2860E341" w:rsidR="00A623D9" w:rsidRPr="00672027" w:rsidRDefault="00A623D9" w:rsidP="000A3B84">
            <w:pPr>
              <w:rPr>
                <w:b/>
                <w:sz w:val="28"/>
                <w:szCs w:val="28"/>
                <w:u w:val="single"/>
              </w:rPr>
            </w:pPr>
            <w:r w:rsidRPr="00672027">
              <w:rPr>
                <w:b/>
                <w:sz w:val="28"/>
                <w:szCs w:val="28"/>
                <w:u w:val="single"/>
              </w:rPr>
              <w:t>Flupentixol Decanoate</w:t>
            </w:r>
          </w:p>
          <w:p w14:paraId="291E2084" w14:textId="77777777" w:rsidR="00A623D9" w:rsidRPr="00672027" w:rsidRDefault="00A623D9" w:rsidP="000A3B84">
            <w:pPr>
              <w:rPr>
                <w:b/>
                <w:sz w:val="28"/>
                <w:szCs w:val="28"/>
                <w:u w:val="single"/>
              </w:rPr>
            </w:pPr>
          </w:p>
          <w:p w14:paraId="03D233B6" w14:textId="77777777" w:rsidR="00A623D9" w:rsidRPr="00672027" w:rsidRDefault="00A623D9" w:rsidP="000A3B84">
            <w:pPr>
              <w:rPr>
                <w:b/>
                <w:sz w:val="28"/>
                <w:szCs w:val="28"/>
                <w:u w:val="single"/>
              </w:rPr>
            </w:pPr>
            <w:r w:rsidRPr="00672027">
              <w:rPr>
                <w:b/>
                <w:sz w:val="28"/>
                <w:szCs w:val="28"/>
                <w:u w:val="single"/>
              </w:rPr>
              <w:t xml:space="preserve">Zuclopentixol Decanoate </w:t>
            </w:r>
          </w:p>
          <w:p w14:paraId="321672BB" w14:textId="77777777" w:rsidR="00A623D9" w:rsidRPr="00672027" w:rsidRDefault="00A623D9" w:rsidP="000A3B84">
            <w:pPr>
              <w:rPr>
                <w:b/>
                <w:sz w:val="28"/>
                <w:szCs w:val="28"/>
                <w:u w:val="single"/>
              </w:rPr>
            </w:pPr>
          </w:p>
          <w:p w14:paraId="223C50D1" w14:textId="77777777" w:rsidR="00A623D9" w:rsidRPr="00672027" w:rsidRDefault="00A623D9" w:rsidP="000A3B8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05" w:type="dxa"/>
          </w:tcPr>
          <w:p w14:paraId="66C2EE88" w14:textId="77777777" w:rsidR="00A623D9" w:rsidRPr="00672027" w:rsidRDefault="00A623D9" w:rsidP="000A3B84">
            <w:r w:rsidRPr="00672027">
              <w:t xml:space="preserve">Give the missed dose  a week late then resume normal dosing </w:t>
            </w:r>
          </w:p>
          <w:p w14:paraId="5F45C1F4" w14:textId="77777777" w:rsidR="00A623D9" w:rsidRPr="00672027" w:rsidRDefault="00A623D9" w:rsidP="000A3B84"/>
          <w:p w14:paraId="7EF53671" w14:textId="20AA6692" w:rsidR="00A623D9" w:rsidRPr="00672027" w:rsidRDefault="00A623D9" w:rsidP="000A3B84">
            <w:r w:rsidRPr="00672027">
              <w:t xml:space="preserve">Anticholinergic cover may be needed for a week or more after the subsequent </w:t>
            </w:r>
            <w:r w:rsidR="00E45D3F" w:rsidRPr="00672027">
              <w:t xml:space="preserve">injections. </w:t>
            </w:r>
          </w:p>
        </w:tc>
        <w:tc>
          <w:tcPr>
            <w:tcW w:w="3173" w:type="dxa"/>
          </w:tcPr>
          <w:p w14:paraId="2036890F" w14:textId="77777777" w:rsidR="00A623D9" w:rsidRPr="00672027" w:rsidRDefault="00A623D9" w:rsidP="000A3B84">
            <w:r w:rsidRPr="00672027">
              <w:t>Can give the dose two weeks late.</w:t>
            </w:r>
          </w:p>
          <w:p w14:paraId="6734CF9A" w14:textId="77777777" w:rsidR="00A623D9" w:rsidRDefault="00A623D9" w:rsidP="000A3B84"/>
          <w:p w14:paraId="2DDE4C82" w14:textId="77777777" w:rsidR="0067618C" w:rsidRPr="00672027" w:rsidRDefault="0067618C" w:rsidP="000A3B84"/>
          <w:p w14:paraId="43C0A468" w14:textId="4429D019" w:rsidR="00A623D9" w:rsidRPr="00672027" w:rsidRDefault="00A623D9" w:rsidP="0067618C">
            <w:r w:rsidRPr="00672027">
              <w:t>Then revert to the usually three weekly schedule ( i.e. a week after the 2/52 dose given late ) but 50% of the usual dose (i.e. 50% lower dose).Then continue as normal thereafter</w:t>
            </w:r>
          </w:p>
        </w:tc>
        <w:tc>
          <w:tcPr>
            <w:tcW w:w="5846" w:type="dxa"/>
          </w:tcPr>
          <w:p w14:paraId="506FFB61" w14:textId="77777777" w:rsidR="00A623D9" w:rsidRPr="00672027" w:rsidRDefault="00A623D9" w:rsidP="000A3B84">
            <w:pPr>
              <w:jc w:val="center"/>
            </w:pPr>
          </w:p>
          <w:p w14:paraId="70740F79" w14:textId="4F2AA4BE" w:rsidR="00A623D9" w:rsidRPr="00672027" w:rsidRDefault="00A623D9" w:rsidP="00254F9F">
            <w:r w:rsidRPr="00672027">
              <w:t>Contact Pharmacy for advice</w:t>
            </w:r>
          </w:p>
        </w:tc>
      </w:tr>
      <w:tr w:rsidR="00A623D9" w:rsidRPr="00327115" w14:paraId="165EFFA2" w14:textId="7C51023E" w:rsidTr="0067618C">
        <w:tc>
          <w:tcPr>
            <w:tcW w:w="3944" w:type="dxa"/>
          </w:tcPr>
          <w:p w14:paraId="3F1FBD89" w14:textId="77777777" w:rsidR="00A623D9" w:rsidRPr="00672027" w:rsidRDefault="00A623D9" w:rsidP="000A3B84">
            <w:pPr>
              <w:rPr>
                <w:b/>
                <w:sz w:val="28"/>
                <w:szCs w:val="28"/>
                <w:u w:val="single"/>
              </w:rPr>
            </w:pPr>
            <w:r w:rsidRPr="00672027">
              <w:rPr>
                <w:b/>
                <w:sz w:val="28"/>
                <w:szCs w:val="28"/>
                <w:u w:val="single"/>
              </w:rPr>
              <w:t xml:space="preserve">Haloperidol  Decanoate </w:t>
            </w:r>
          </w:p>
          <w:p w14:paraId="3FB711BA" w14:textId="77777777" w:rsidR="00A623D9" w:rsidRPr="00672027" w:rsidRDefault="00A623D9" w:rsidP="000A3B84">
            <w:pPr>
              <w:ind w:firstLine="720"/>
              <w:rPr>
                <w:b/>
                <w:sz w:val="28"/>
                <w:szCs w:val="28"/>
                <w:u w:val="single"/>
              </w:rPr>
            </w:pPr>
          </w:p>
          <w:p w14:paraId="344BCBA1" w14:textId="77777777" w:rsidR="00A623D9" w:rsidRPr="00672027" w:rsidRDefault="00A623D9" w:rsidP="000A3B84">
            <w:pPr>
              <w:ind w:firstLine="720"/>
              <w:rPr>
                <w:b/>
                <w:sz w:val="28"/>
                <w:szCs w:val="28"/>
                <w:u w:val="single"/>
              </w:rPr>
            </w:pPr>
          </w:p>
          <w:p w14:paraId="5ACFA013" w14:textId="77777777" w:rsidR="00A623D9" w:rsidRPr="00672027" w:rsidRDefault="00A623D9" w:rsidP="000A3B84">
            <w:pPr>
              <w:ind w:firstLine="720"/>
              <w:rPr>
                <w:b/>
                <w:sz w:val="28"/>
                <w:szCs w:val="28"/>
                <w:u w:val="single"/>
              </w:rPr>
            </w:pPr>
          </w:p>
          <w:p w14:paraId="6A3CE8C5" w14:textId="77777777" w:rsidR="00A623D9" w:rsidRPr="00672027" w:rsidRDefault="00A623D9" w:rsidP="000A3B84">
            <w:pPr>
              <w:ind w:firstLine="720"/>
              <w:rPr>
                <w:b/>
                <w:sz w:val="28"/>
                <w:szCs w:val="28"/>
                <w:u w:val="single"/>
              </w:rPr>
            </w:pPr>
          </w:p>
          <w:p w14:paraId="3DBAAEAD" w14:textId="77777777" w:rsidR="00A623D9" w:rsidRPr="00672027" w:rsidRDefault="00A623D9" w:rsidP="000A3B84">
            <w:pPr>
              <w:ind w:firstLine="720"/>
              <w:rPr>
                <w:b/>
                <w:sz w:val="28"/>
                <w:szCs w:val="28"/>
                <w:u w:val="single"/>
              </w:rPr>
            </w:pPr>
          </w:p>
          <w:p w14:paraId="6D2FE80E" w14:textId="41E9B979" w:rsidR="00A623D9" w:rsidRPr="00672027" w:rsidRDefault="00A623D9" w:rsidP="000A3B84">
            <w:pPr>
              <w:rPr>
                <w:b/>
                <w:sz w:val="28"/>
                <w:szCs w:val="28"/>
                <w:u w:val="single"/>
              </w:rPr>
            </w:pPr>
            <w:r w:rsidRPr="00672027">
              <w:rPr>
                <w:b/>
                <w:sz w:val="28"/>
                <w:szCs w:val="28"/>
                <w:u w:val="single"/>
              </w:rPr>
              <w:t xml:space="preserve">Pipothiazine Palmitate </w:t>
            </w:r>
            <w:r w:rsidRPr="00672027">
              <w:rPr>
                <w:b/>
                <w:sz w:val="28"/>
                <w:szCs w:val="28"/>
              </w:rPr>
              <w:t>(Discontinued in UK)</w:t>
            </w:r>
          </w:p>
          <w:p w14:paraId="4F452FC6" w14:textId="77777777" w:rsidR="00A623D9" w:rsidRPr="00672027" w:rsidRDefault="00A623D9" w:rsidP="000A3B84">
            <w:pPr>
              <w:rPr>
                <w:b/>
                <w:sz w:val="28"/>
                <w:szCs w:val="28"/>
                <w:u w:val="single"/>
              </w:rPr>
            </w:pPr>
            <w:r w:rsidRPr="00672027">
              <w:rPr>
                <w:b/>
                <w:sz w:val="28"/>
                <w:szCs w:val="28"/>
                <w:u w:val="single"/>
              </w:rPr>
              <w:t>Fluphenazine  Decanoate</w:t>
            </w:r>
          </w:p>
          <w:p w14:paraId="5CF013E9" w14:textId="26914318" w:rsidR="00A623D9" w:rsidRPr="00672027" w:rsidRDefault="00A623D9" w:rsidP="000A3B84">
            <w:pPr>
              <w:rPr>
                <w:b/>
                <w:sz w:val="28"/>
                <w:szCs w:val="28"/>
              </w:rPr>
            </w:pPr>
            <w:r w:rsidRPr="00672027">
              <w:rPr>
                <w:b/>
                <w:sz w:val="28"/>
                <w:szCs w:val="28"/>
              </w:rPr>
              <w:t>(Discontinued in UK)</w:t>
            </w:r>
          </w:p>
        </w:tc>
        <w:tc>
          <w:tcPr>
            <w:tcW w:w="2205" w:type="dxa"/>
          </w:tcPr>
          <w:p w14:paraId="0138A81E" w14:textId="77777777" w:rsidR="00A623D9" w:rsidRPr="00672027" w:rsidRDefault="00A623D9" w:rsidP="000A3B84">
            <w:r w:rsidRPr="00672027">
              <w:t xml:space="preserve">Can give the usual dose  and resume  the previous routine </w:t>
            </w:r>
          </w:p>
        </w:tc>
        <w:tc>
          <w:tcPr>
            <w:tcW w:w="3173" w:type="dxa"/>
          </w:tcPr>
          <w:p w14:paraId="18CDFBB3" w14:textId="25B9E06E" w:rsidR="00A623D9" w:rsidRPr="00672027" w:rsidRDefault="00A623D9" w:rsidP="000A3B84">
            <w:r w:rsidRPr="00672027">
              <w:t xml:space="preserve">Can give 75% of the usual dose( i.e. a lower dose) and then resume as before  </w:t>
            </w:r>
          </w:p>
          <w:p w14:paraId="350B6770" w14:textId="752EA071" w:rsidR="00A623D9" w:rsidRPr="00672027" w:rsidRDefault="00A623D9" w:rsidP="000A3B84">
            <w:r w:rsidRPr="00672027">
              <w:t xml:space="preserve">(i.e. give the usual maintenance dose a week later) </w:t>
            </w:r>
          </w:p>
        </w:tc>
        <w:tc>
          <w:tcPr>
            <w:tcW w:w="5846" w:type="dxa"/>
          </w:tcPr>
          <w:p w14:paraId="436BB72D" w14:textId="1B951654" w:rsidR="00A623D9" w:rsidRPr="00672027" w:rsidRDefault="00A623D9" w:rsidP="00254F9F">
            <w:r w:rsidRPr="00672027">
              <w:t>Contact pharmacy for advice.</w:t>
            </w:r>
          </w:p>
        </w:tc>
      </w:tr>
    </w:tbl>
    <w:p w14:paraId="567AFF9E" w14:textId="313DC431" w:rsidR="009677B7" w:rsidRDefault="009677B7" w:rsidP="00327115">
      <w:pPr>
        <w:rPr>
          <w:b/>
          <w:sz w:val="28"/>
          <w:szCs w:val="28"/>
          <w:u w:val="single"/>
        </w:rPr>
      </w:pPr>
    </w:p>
    <w:p w14:paraId="79658534" w14:textId="6EB96CB7" w:rsidR="00F17C43" w:rsidRDefault="00F17C43" w:rsidP="00327115">
      <w:pPr>
        <w:rPr>
          <w:b/>
          <w:sz w:val="28"/>
          <w:szCs w:val="28"/>
          <w:u w:val="single"/>
        </w:rPr>
      </w:pPr>
    </w:p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2482"/>
        <w:gridCol w:w="2023"/>
        <w:gridCol w:w="2583"/>
        <w:gridCol w:w="3402"/>
        <w:gridCol w:w="4536"/>
      </w:tblGrid>
      <w:tr w:rsidR="00890EBF" w14:paraId="24962FCB" w14:textId="77777777" w:rsidTr="000A3B84">
        <w:tc>
          <w:tcPr>
            <w:tcW w:w="15026" w:type="dxa"/>
            <w:gridSpan w:val="5"/>
            <w:shd w:val="clear" w:color="auto" w:fill="8DB3E2" w:themeFill="text2" w:themeFillTint="66"/>
          </w:tcPr>
          <w:p w14:paraId="78E5D7D6" w14:textId="3EEC82D2" w:rsidR="00890EBF" w:rsidRPr="00FB3963" w:rsidRDefault="00890EBF" w:rsidP="00890EBF">
            <w:pPr>
              <w:jc w:val="center"/>
              <w:rPr>
                <w:b/>
              </w:rPr>
            </w:pPr>
            <w:r w:rsidRPr="00890EBF">
              <w:rPr>
                <w:b/>
                <w:highlight w:val="yellow"/>
              </w:rPr>
              <w:lastRenderedPageBreak/>
              <w:t>FOUR WEEKLY OR MONTHLY DEPOT INJECTION</w:t>
            </w:r>
          </w:p>
        </w:tc>
      </w:tr>
      <w:tr w:rsidR="00FB3963" w14:paraId="29B868DC" w14:textId="77777777" w:rsidTr="0067618C">
        <w:tc>
          <w:tcPr>
            <w:tcW w:w="2482" w:type="dxa"/>
            <w:shd w:val="clear" w:color="auto" w:fill="8DB3E2" w:themeFill="text2" w:themeFillTint="66"/>
          </w:tcPr>
          <w:p w14:paraId="47AD436A" w14:textId="77777777" w:rsidR="00FB3963" w:rsidRPr="00672027" w:rsidRDefault="00FB3963" w:rsidP="00327115">
            <w:pPr>
              <w:rPr>
                <w:b/>
              </w:rPr>
            </w:pPr>
            <w:r w:rsidRPr="00672027">
              <w:rPr>
                <w:b/>
              </w:rPr>
              <w:t>Generic Drug Name</w:t>
            </w:r>
          </w:p>
          <w:p w14:paraId="5D000C61" w14:textId="77777777" w:rsidR="00485F3D" w:rsidRPr="00672027" w:rsidRDefault="00485F3D" w:rsidP="00327115">
            <w:pPr>
              <w:rPr>
                <w:b/>
              </w:rPr>
            </w:pPr>
          </w:p>
          <w:p w14:paraId="65E7BB07" w14:textId="77777777" w:rsidR="00485F3D" w:rsidRPr="00672027" w:rsidRDefault="00485F3D" w:rsidP="00327115">
            <w:pPr>
              <w:rPr>
                <w:b/>
              </w:rPr>
            </w:pPr>
          </w:p>
          <w:p w14:paraId="05FEFAED" w14:textId="77777777" w:rsidR="00485F3D" w:rsidRPr="00672027" w:rsidRDefault="00485F3D" w:rsidP="00327115">
            <w:pPr>
              <w:rPr>
                <w:b/>
              </w:rPr>
            </w:pPr>
          </w:p>
        </w:tc>
        <w:tc>
          <w:tcPr>
            <w:tcW w:w="2023" w:type="dxa"/>
            <w:shd w:val="clear" w:color="auto" w:fill="8DB3E2" w:themeFill="text2" w:themeFillTint="66"/>
          </w:tcPr>
          <w:p w14:paraId="4FE6CF90" w14:textId="77777777" w:rsidR="00FB3963" w:rsidRPr="00672027" w:rsidRDefault="00FB3963" w:rsidP="00327115">
            <w:pPr>
              <w:rPr>
                <w:b/>
              </w:rPr>
            </w:pPr>
            <w:r w:rsidRPr="00672027">
              <w:rPr>
                <w:b/>
              </w:rPr>
              <w:t xml:space="preserve">Dose 1 week late </w:t>
            </w:r>
          </w:p>
          <w:p w14:paraId="21ED017C" w14:textId="51DCEC0C" w:rsidR="007A64CE" w:rsidRPr="00672027" w:rsidRDefault="007A64CE" w:rsidP="00B968BA">
            <w:pPr>
              <w:rPr>
                <w:b/>
              </w:rPr>
            </w:pPr>
            <w:r w:rsidRPr="00672027">
              <w:rPr>
                <w:b/>
              </w:rPr>
              <w:t xml:space="preserve">(i.e. </w:t>
            </w:r>
            <w:r w:rsidR="00B968BA" w:rsidRPr="00672027">
              <w:rPr>
                <w:b/>
              </w:rPr>
              <w:t>28- 35</w:t>
            </w:r>
            <w:r w:rsidRPr="00672027">
              <w:rPr>
                <w:b/>
              </w:rPr>
              <w:t xml:space="preserve"> days since last dose)</w:t>
            </w:r>
          </w:p>
        </w:tc>
        <w:tc>
          <w:tcPr>
            <w:tcW w:w="2583" w:type="dxa"/>
            <w:shd w:val="clear" w:color="auto" w:fill="8DB3E2" w:themeFill="text2" w:themeFillTint="66"/>
          </w:tcPr>
          <w:p w14:paraId="2C2D09A5" w14:textId="0BB3CB45" w:rsidR="00FB3963" w:rsidRPr="00672027" w:rsidRDefault="00FB3963" w:rsidP="00327115">
            <w:pPr>
              <w:rPr>
                <w:b/>
              </w:rPr>
            </w:pPr>
            <w:r w:rsidRPr="00672027">
              <w:rPr>
                <w:b/>
              </w:rPr>
              <w:t>Dose 2 week</w:t>
            </w:r>
            <w:r w:rsidR="00A623D9" w:rsidRPr="00672027">
              <w:rPr>
                <w:b/>
              </w:rPr>
              <w:t>s</w:t>
            </w:r>
            <w:r w:rsidRPr="00672027">
              <w:rPr>
                <w:b/>
              </w:rPr>
              <w:t xml:space="preserve"> late</w:t>
            </w:r>
          </w:p>
          <w:p w14:paraId="1C5EAC0B" w14:textId="4D8C779F" w:rsidR="007A64CE" w:rsidRPr="00672027" w:rsidRDefault="00E45D3F" w:rsidP="00327115">
            <w:pPr>
              <w:rPr>
                <w:b/>
              </w:rPr>
            </w:pPr>
            <w:r w:rsidRPr="00672027">
              <w:rPr>
                <w:b/>
              </w:rPr>
              <w:t>42 days since the last do</w:t>
            </w:r>
            <w:r w:rsidR="007C6EB1" w:rsidRPr="00672027">
              <w:rPr>
                <w:b/>
              </w:rPr>
              <w:t>s</w:t>
            </w:r>
            <w:r w:rsidRPr="00672027">
              <w:rPr>
                <w:b/>
              </w:rPr>
              <w:t>e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3DF3D051" w14:textId="77777777" w:rsidR="00FB3963" w:rsidRPr="00672027" w:rsidRDefault="00FB3963" w:rsidP="00327115">
            <w:pPr>
              <w:rPr>
                <w:b/>
              </w:rPr>
            </w:pPr>
            <w:r w:rsidRPr="00672027">
              <w:rPr>
                <w:b/>
              </w:rPr>
              <w:t xml:space="preserve">Dose 3 weeks late </w:t>
            </w:r>
          </w:p>
          <w:p w14:paraId="76FAEC19" w14:textId="50B31D29" w:rsidR="007A64CE" w:rsidRPr="00672027" w:rsidRDefault="00E45D3F" w:rsidP="00327115">
            <w:pPr>
              <w:rPr>
                <w:b/>
              </w:rPr>
            </w:pPr>
            <w:r w:rsidRPr="00672027">
              <w:rPr>
                <w:b/>
              </w:rPr>
              <w:t>(i.e. 49 days since last dose</w:t>
            </w:r>
            <w:r w:rsidR="007A64CE" w:rsidRPr="00672027">
              <w:rPr>
                <w:b/>
              </w:rPr>
              <w:t>)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14:paraId="42AD4F06" w14:textId="77777777" w:rsidR="00FB3963" w:rsidRPr="00672027" w:rsidRDefault="00FB3963" w:rsidP="00327115">
            <w:pPr>
              <w:rPr>
                <w:b/>
              </w:rPr>
            </w:pPr>
            <w:r w:rsidRPr="00672027">
              <w:rPr>
                <w:b/>
              </w:rPr>
              <w:t xml:space="preserve">Dose 4 weeks late </w:t>
            </w:r>
          </w:p>
          <w:p w14:paraId="13406D93" w14:textId="20D5F916" w:rsidR="007A64CE" w:rsidRPr="00672027" w:rsidRDefault="00A623D9" w:rsidP="00327115">
            <w:pPr>
              <w:rPr>
                <w:b/>
              </w:rPr>
            </w:pPr>
            <w:r w:rsidRPr="00672027">
              <w:rPr>
                <w:b/>
              </w:rPr>
              <w:t xml:space="preserve">(i.e </w:t>
            </w:r>
            <w:r w:rsidR="00E45D3F" w:rsidRPr="00672027">
              <w:rPr>
                <w:b/>
              </w:rPr>
              <w:t xml:space="preserve"> 50</w:t>
            </w:r>
            <w:r w:rsidR="007A64CE" w:rsidRPr="00672027">
              <w:rPr>
                <w:b/>
              </w:rPr>
              <w:t xml:space="preserve"> </w:t>
            </w:r>
            <w:r w:rsidRPr="00672027">
              <w:rPr>
                <w:b/>
              </w:rPr>
              <w:t>days or more since the last dose)</w:t>
            </w:r>
          </w:p>
        </w:tc>
      </w:tr>
      <w:tr w:rsidR="00FB3963" w14:paraId="3FBD1DEF" w14:textId="77777777" w:rsidTr="0067618C">
        <w:tc>
          <w:tcPr>
            <w:tcW w:w="2482" w:type="dxa"/>
          </w:tcPr>
          <w:p w14:paraId="229B8C33" w14:textId="77777777" w:rsidR="00FB3963" w:rsidRPr="006612FB" w:rsidRDefault="00485F3D" w:rsidP="00327115">
            <w:pPr>
              <w:rPr>
                <w:b/>
                <w:sz w:val="28"/>
                <w:szCs w:val="28"/>
                <w:u w:val="single"/>
              </w:rPr>
            </w:pPr>
            <w:r w:rsidRPr="006612FB">
              <w:rPr>
                <w:b/>
                <w:sz w:val="28"/>
                <w:szCs w:val="28"/>
                <w:u w:val="single"/>
              </w:rPr>
              <w:t xml:space="preserve">Flupentixol Decanoate </w:t>
            </w:r>
          </w:p>
          <w:p w14:paraId="445E56EB" w14:textId="77777777" w:rsidR="00485F3D" w:rsidRPr="006612FB" w:rsidRDefault="00485F3D" w:rsidP="00327115">
            <w:pPr>
              <w:rPr>
                <w:b/>
                <w:sz w:val="28"/>
                <w:szCs w:val="28"/>
                <w:u w:val="single"/>
              </w:rPr>
            </w:pPr>
          </w:p>
          <w:p w14:paraId="72395FC4" w14:textId="77777777" w:rsidR="00485F3D" w:rsidRPr="006612FB" w:rsidRDefault="00485F3D" w:rsidP="00327115">
            <w:pPr>
              <w:rPr>
                <w:b/>
                <w:sz w:val="28"/>
                <w:szCs w:val="28"/>
                <w:u w:val="single"/>
              </w:rPr>
            </w:pPr>
            <w:r w:rsidRPr="006612FB">
              <w:rPr>
                <w:b/>
                <w:sz w:val="28"/>
                <w:szCs w:val="28"/>
                <w:u w:val="single"/>
              </w:rPr>
              <w:t xml:space="preserve">Zuclopentixol Decanoate </w:t>
            </w:r>
          </w:p>
        </w:tc>
        <w:tc>
          <w:tcPr>
            <w:tcW w:w="2023" w:type="dxa"/>
          </w:tcPr>
          <w:p w14:paraId="1E1BDFB6" w14:textId="77777777" w:rsidR="00FB3963" w:rsidRPr="00485F3D" w:rsidRDefault="00485F3D" w:rsidP="00327115">
            <w:r>
              <w:t xml:space="preserve">Give </w:t>
            </w:r>
            <w:r w:rsidRPr="00485F3D">
              <w:t>missed dose a week late, then carry on as before.</w:t>
            </w:r>
          </w:p>
          <w:p w14:paraId="2E62062F" w14:textId="77777777" w:rsidR="00485F3D" w:rsidRPr="00485F3D" w:rsidRDefault="00485F3D" w:rsidP="00327115"/>
          <w:p w14:paraId="01941457" w14:textId="53C6FA4C" w:rsidR="00485F3D" w:rsidRPr="00485F3D" w:rsidRDefault="006F2899" w:rsidP="00327115">
            <w:r w:rsidRPr="00485F3D">
              <w:t>Anticholinergic</w:t>
            </w:r>
            <w:r w:rsidR="00485F3D" w:rsidRPr="00485F3D">
              <w:t xml:space="preserve"> cover may be needed for a week or </w:t>
            </w:r>
            <w:r w:rsidR="00A623D9">
              <w:t>more after subsequent injection</w:t>
            </w:r>
            <w:r w:rsidR="00485F3D" w:rsidRPr="00485F3D">
              <w:t>s</w:t>
            </w:r>
          </w:p>
        </w:tc>
        <w:tc>
          <w:tcPr>
            <w:tcW w:w="2583" w:type="dxa"/>
          </w:tcPr>
          <w:p w14:paraId="28DD0A39" w14:textId="21F89810" w:rsidR="00FB3963" w:rsidRPr="00672027" w:rsidRDefault="00A623D9" w:rsidP="00254F9F">
            <w:r w:rsidRPr="00672027">
              <w:t>Can give 2/52 weeks late  then revert  to the usual 4</w:t>
            </w:r>
            <w:r w:rsidR="00485F3D" w:rsidRPr="00672027">
              <w:t>/52 days</w:t>
            </w:r>
            <w:r w:rsidRPr="00672027">
              <w:t xml:space="preserve"> , but the subsequent dose  ( two week after the dose given </w:t>
            </w:r>
            <w:r w:rsidR="00485F3D" w:rsidRPr="00672027">
              <w:t>2/52</w:t>
            </w:r>
            <w:r w:rsidRPr="00672027">
              <w:t xml:space="preserve"> late</w:t>
            </w:r>
            <w:r w:rsidR="00485F3D" w:rsidRPr="00672027">
              <w:t xml:space="preserve">) </w:t>
            </w:r>
            <w:r w:rsidR="00254F9F" w:rsidRPr="00672027">
              <w:t>should be 50% of the usual dose (</w:t>
            </w:r>
            <w:r w:rsidRPr="00672027">
              <w:t>i.e. a lower dose )</w:t>
            </w:r>
          </w:p>
        </w:tc>
        <w:tc>
          <w:tcPr>
            <w:tcW w:w="3402" w:type="dxa"/>
          </w:tcPr>
          <w:p w14:paraId="42DE0486" w14:textId="77777777" w:rsidR="00FB3963" w:rsidRPr="00672027" w:rsidRDefault="00485F3D" w:rsidP="00327115">
            <w:r w:rsidRPr="00672027">
              <w:t xml:space="preserve">Plasma levels will have dropped  to low  levels  so start again with the usual dose </w:t>
            </w:r>
          </w:p>
        </w:tc>
        <w:tc>
          <w:tcPr>
            <w:tcW w:w="4536" w:type="dxa"/>
          </w:tcPr>
          <w:p w14:paraId="5A606986" w14:textId="36F6B064" w:rsidR="00FB3963" w:rsidRPr="00672027" w:rsidRDefault="00A623D9" w:rsidP="00327115">
            <w:r w:rsidRPr="00672027">
              <w:t xml:space="preserve"> Contact pharmacy for advice</w:t>
            </w:r>
          </w:p>
        </w:tc>
      </w:tr>
      <w:tr w:rsidR="00FB3963" w14:paraId="68DD6F63" w14:textId="77777777" w:rsidTr="0067618C">
        <w:tc>
          <w:tcPr>
            <w:tcW w:w="2482" w:type="dxa"/>
          </w:tcPr>
          <w:p w14:paraId="0228901B" w14:textId="77777777" w:rsidR="00485F3D" w:rsidRPr="006612FB" w:rsidRDefault="00485F3D" w:rsidP="00327115">
            <w:pPr>
              <w:rPr>
                <w:b/>
                <w:sz w:val="28"/>
                <w:szCs w:val="28"/>
                <w:u w:val="single"/>
              </w:rPr>
            </w:pPr>
            <w:r w:rsidRPr="006612FB">
              <w:rPr>
                <w:b/>
                <w:sz w:val="28"/>
                <w:szCs w:val="28"/>
                <w:u w:val="single"/>
              </w:rPr>
              <w:t xml:space="preserve">Haloperidol Decanate </w:t>
            </w:r>
          </w:p>
          <w:p w14:paraId="692D1161" w14:textId="77777777" w:rsidR="00485F3D" w:rsidRPr="006612FB" w:rsidRDefault="00485F3D" w:rsidP="00327115">
            <w:pPr>
              <w:rPr>
                <w:b/>
                <w:sz w:val="28"/>
                <w:szCs w:val="28"/>
                <w:u w:val="single"/>
              </w:rPr>
            </w:pPr>
          </w:p>
          <w:p w14:paraId="0100B194" w14:textId="09239BA1" w:rsidR="00485F3D" w:rsidRPr="006612FB" w:rsidRDefault="00485F3D" w:rsidP="00327115">
            <w:pPr>
              <w:rPr>
                <w:b/>
                <w:sz w:val="28"/>
                <w:szCs w:val="28"/>
              </w:rPr>
            </w:pPr>
            <w:r w:rsidRPr="006612FB">
              <w:rPr>
                <w:b/>
                <w:sz w:val="28"/>
                <w:szCs w:val="28"/>
                <w:u w:val="single"/>
              </w:rPr>
              <w:t xml:space="preserve">Pipotiazine </w:t>
            </w:r>
            <w:r w:rsidR="006612FB">
              <w:rPr>
                <w:b/>
                <w:sz w:val="28"/>
                <w:szCs w:val="28"/>
                <w:u w:val="single"/>
              </w:rPr>
              <w:t>P</w:t>
            </w:r>
            <w:r w:rsidRPr="006612FB">
              <w:rPr>
                <w:b/>
                <w:sz w:val="28"/>
                <w:szCs w:val="28"/>
                <w:u w:val="single"/>
              </w:rPr>
              <w:t xml:space="preserve">almitate </w:t>
            </w:r>
            <w:r w:rsidR="00B60BE2" w:rsidRPr="006612FB">
              <w:rPr>
                <w:b/>
                <w:sz w:val="28"/>
                <w:szCs w:val="28"/>
              </w:rPr>
              <w:t>(Discontinued in UK)</w:t>
            </w:r>
          </w:p>
          <w:p w14:paraId="12A91E23" w14:textId="77777777" w:rsidR="00485F3D" w:rsidRPr="006612FB" w:rsidRDefault="00485F3D" w:rsidP="00327115">
            <w:pPr>
              <w:rPr>
                <w:b/>
                <w:sz w:val="28"/>
                <w:szCs w:val="28"/>
                <w:u w:val="single"/>
              </w:rPr>
            </w:pPr>
          </w:p>
          <w:p w14:paraId="7CF5CE00" w14:textId="3E987D6D" w:rsidR="00485F3D" w:rsidRPr="006612FB" w:rsidRDefault="00485F3D" w:rsidP="00327115">
            <w:pPr>
              <w:rPr>
                <w:b/>
                <w:sz w:val="28"/>
                <w:szCs w:val="28"/>
                <w:u w:val="single"/>
              </w:rPr>
            </w:pPr>
            <w:r w:rsidRPr="006612FB">
              <w:rPr>
                <w:b/>
                <w:sz w:val="28"/>
                <w:szCs w:val="28"/>
                <w:u w:val="single"/>
              </w:rPr>
              <w:t xml:space="preserve">Fluphenazine  Decanoate </w:t>
            </w:r>
            <w:r w:rsidR="00B60BE2" w:rsidRPr="006612FB">
              <w:rPr>
                <w:b/>
                <w:sz w:val="28"/>
                <w:szCs w:val="28"/>
              </w:rPr>
              <w:t>(Discontinued in UK)</w:t>
            </w:r>
          </w:p>
          <w:p w14:paraId="00C35B6B" w14:textId="77777777" w:rsidR="00485F3D" w:rsidRPr="006612FB" w:rsidRDefault="00485F3D" w:rsidP="0032711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23" w:type="dxa"/>
          </w:tcPr>
          <w:p w14:paraId="6196D16A" w14:textId="77777777" w:rsidR="00FB3963" w:rsidRPr="009677B7" w:rsidRDefault="009677B7" w:rsidP="00327115">
            <w:r w:rsidRPr="009677B7">
              <w:t xml:space="preserve">Give the full dose and revert to  routine </w:t>
            </w:r>
          </w:p>
        </w:tc>
        <w:tc>
          <w:tcPr>
            <w:tcW w:w="2583" w:type="dxa"/>
          </w:tcPr>
          <w:p w14:paraId="71ECBC87" w14:textId="2E039838" w:rsidR="00FB3963" w:rsidRPr="00672027" w:rsidRDefault="009677B7" w:rsidP="00327115">
            <w:r w:rsidRPr="00672027">
              <w:t>Give the full dose and revert to  routine</w:t>
            </w:r>
          </w:p>
        </w:tc>
        <w:tc>
          <w:tcPr>
            <w:tcW w:w="3402" w:type="dxa"/>
          </w:tcPr>
          <w:p w14:paraId="3C35D777" w14:textId="26E323D6" w:rsidR="00A623D9" w:rsidRPr="00672027" w:rsidRDefault="009677B7" w:rsidP="005B7D1E">
            <w:r w:rsidRPr="00672027">
              <w:t>Give 60</w:t>
            </w:r>
            <w:r w:rsidR="005B7D1E" w:rsidRPr="00672027">
              <w:t xml:space="preserve"> </w:t>
            </w:r>
            <w:r w:rsidRPr="00672027">
              <w:t xml:space="preserve">- 75% </w:t>
            </w:r>
            <w:r w:rsidR="00A623D9" w:rsidRPr="00672027">
              <w:t>of the usual dose.</w:t>
            </w:r>
          </w:p>
          <w:p w14:paraId="2209775D" w14:textId="51D77D2B" w:rsidR="00FB3963" w:rsidRPr="00672027" w:rsidRDefault="00A623D9" w:rsidP="00C90477">
            <w:r w:rsidRPr="00672027">
              <w:t>Then give the</w:t>
            </w:r>
            <w:r w:rsidR="009677B7" w:rsidRPr="00672027">
              <w:t xml:space="preserve"> full dose a week after (on the routine day)</w:t>
            </w:r>
          </w:p>
        </w:tc>
        <w:tc>
          <w:tcPr>
            <w:tcW w:w="4536" w:type="dxa"/>
          </w:tcPr>
          <w:p w14:paraId="6034E90D" w14:textId="66E31E9B" w:rsidR="00FB3963" w:rsidRPr="00672027" w:rsidRDefault="00A623D9" w:rsidP="00327115">
            <w:r w:rsidRPr="00672027">
              <w:t>Contact pharmacy for advice</w:t>
            </w:r>
          </w:p>
        </w:tc>
      </w:tr>
    </w:tbl>
    <w:p w14:paraId="120716BD" w14:textId="7897C220" w:rsidR="00FB3963" w:rsidRDefault="00FB3963" w:rsidP="00327115">
      <w:pPr>
        <w:rPr>
          <w:u w:val="single"/>
        </w:rPr>
      </w:pPr>
    </w:p>
    <w:p w14:paraId="7D23F326" w14:textId="6733E779" w:rsidR="00B60BE2" w:rsidRDefault="00B60BE2" w:rsidP="00327115">
      <w:pPr>
        <w:rPr>
          <w:u w:val="single"/>
        </w:rPr>
      </w:pPr>
    </w:p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4505"/>
        <w:gridCol w:w="10521"/>
      </w:tblGrid>
      <w:tr w:rsidR="00B60BE2" w:rsidRPr="00FB3963" w14:paraId="33E5C315" w14:textId="77777777" w:rsidTr="000A3B84">
        <w:tc>
          <w:tcPr>
            <w:tcW w:w="15026" w:type="dxa"/>
            <w:gridSpan w:val="2"/>
            <w:shd w:val="clear" w:color="auto" w:fill="8DB3E2" w:themeFill="text2" w:themeFillTint="66"/>
          </w:tcPr>
          <w:p w14:paraId="429D9EE6" w14:textId="4DC71470" w:rsidR="00B60BE2" w:rsidRPr="00B60BE2" w:rsidRDefault="00B60BE2" w:rsidP="005503FE">
            <w:pPr>
              <w:jc w:val="center"/>
              <w:rPr>
                <w:b/>
                <w:sz w:val="24"/>
                <w:szCs w:val="24"/>
              </w:rPr>
            </w:pPr>
            <w:r w:rsidRPr="00B60BE2">
              <w:rPr>
                <w:b/>
                <w:sz w:val="24"/>
                <w:szCs w:val="24"/>
                <w:highlight w:val="yellow"/>
              </w:rPr>
              <w:t>INJECTION SITES FOR DEPOT ANTIPSYCHOTICS</w:t>
            </w:r>
          </w:p>
        </w:tc>
      </w:tr>
      <w:tr w:rsidR="00B60BE2" w:rsidRPr="00EC2409" w14:paraId="2E347328" w14:textId="77777777" w:rsidTr="000A3B84">
        <w:tc>
          <w:tcPr>
            <w:tcW w:w="4505" w:type="dxa"/>
            <w:shd w:val="clear" w:color="auto" w:fill="8DB3E2" w:themeFill="text2" w:themeFillTint="66"/>
          </w:tcPr>
          <w:p w14:paraId="05ABAEEB" w14:textId="545B34B7" w:rsidR="00B60BE2" w:rsidRPr="00EC2409" w:rsidRDefault="00B60BE2" w:rsidP="005503FE">
            <w:pPr>
              <w:rPr>
                <w:b/>
                <w:sz w:val="28"/>
                <w:szCs w:val="28"/>
              </w:rPr>
            </w:pPr>
            <w:r w:rsidRPr="00EC2409">
              <w:rPr>
                <w:b/>
                <w:sz w:val="28"/>
                <w:szCs w:val="28"/>
              </w:rPr>
              <w:t>Name of Antipsychotic Depot</w:t>
            </w:r>
          </w:p>
        </w:tc>
        <w:tc>
          <w:tcPr>
            <w:tcW w:w="10521" w:type="dxa"/>
            <w:shd w:val="clear" w:color="auto" w:fill="8DB3E2" w:themeFill="text2" w:themeFillTint="66"/>
          </w:tcPr>
          <w:p w14:paraId="39F95B68" w14:textId="617308BA" w:rsidR="00B60BE2" w:rsidRPr="00EC2409" w:rsidRDefault="00B60BE2" w:rsidP="005503FE">
            <w:pPr>
              <w:rPr>
                <w:b/>
                <w:sz w:val="28"/>
                <w:szCs w:val="28"/>
              </w:rPr>
            </w:pPr>
            <w:r w:rsidRPr="00EC2409">
              <w:rPr>
                <w:b/>
                <w:sz w:val="28"/>
                <w:szCs w:val="28"/>
              </w:rPr>
              <w:t xml:space="preserve">Available Injection Sites </w:t>
            </w:r>
          </w:p>
        </w:tc>
      </w:tr>
      <w:tr w:rsidR="00B60BE2" w:rsidRPr="00485F3D" w14:paraId="0E13F531" w14:textId="77777777" w:rsidTr="000A3B84">
        <w:tc>
          <w:tcPr>
            <w:tcW w:w="4505" w:type="dxa"/>
          </w:tcPr>
          <w:p w14:paraId="4308BE24" w14:textId="1644E017" w:rsidR="00B60BE2" w:rsidRPr="00EC2409" w:rsidRDefault="00B60BE2" w:rsidP="005503FE">
            <w:pPr>
              <w:rPr>
                <w:b/>
                <w:sz w:val="28"/>
                <w:szCs w:val="28"/>
                <w:u w:val="single"/>
              </w:rPr>
            </w:pPr>
            <w:r w:rsidRPr="00EC2409">
              <w:rPr>
                <w:b/>
                <w:sz w:val="28"/>
                <w:szCs w:val="28"/>
                <w:u w:val="single"/>
              </w:rPr>
              <w:t>Flupentixol</w:t>
            </w:r>
          </w:p>
        </w:tc>
        <w:tc>
          <w:tcPr>
            <w:tcW w:w="10521" w:type="dxa"/>
          </w:tcPr>
          <w:p w14:paraId="49A65B93" w14:textId="36250E60" w:rsidR="00B60BE2" w:rsidRPr="00485F3D" w:rsidRDefault="007C5414" w:rsidP="005503FE">
            <w:r>
              <w:t>Deep IM injection into gluteal or lateral thigh</w:t>
            </w:r>
          </w:p>
        </w:tc>
      </w:tr>
      <w:tr w:rsidR="00B60BE2" w:rsidRPr="00485F3D" w14:paraId="3F110CCE" w14:textId="77777777" w:rsidTr="000A3B84">
        <w:tc>
          <w:tcPr>
            <w:tcW w:w="4505" w:type="dxa"/>
          </w:tcPr>
          <w:p w14:paraId="73B58524" w14:textId="3EC275BA" w:rsidR="00B60BE2" w:rsidRPr="00EC2409" w:rsidRDefault="00B60BE2" w:rsidP="005503FE">
            <w:pPr>
              <w:rPr>
                <w:b/>
                <w:sz w:val="28"/>
                <w:szCs w:val="28"/>
                <w:u w:val="single"/>
              </w:rPr>
            </w:pPr>
            <w:r w:rsidRPr="00EC2409">
              <w:rPr>
                <w:b/>
                <w:sz w:val="28"/>
                <w:szCs w:val="28"/>
                <w:u w:val="single"/>
              </w:rPr>
              <w:t>Haloperidol</w:t>
            </w:r>
          </w:p>
        </w:tc>
        <w:tc>
          <w:tcPr>
            <w:tcW w:w="10521" w:type="dxa"/>
          </w:tcPr>
          <w:p w14:paraId="15C198D6" w14:textId="6F6323F2" w:rsidR="00B60BE2" w:rsidRPr="00485F3D" w:rsidRDefault="007C5414" w:rsidP="005503FE">
            <w:r>
              <w:t>Deep IM injection into gluteal muscle</w:t>
            </w:r>
          </w:p>
        </w:tc>
      </w:tr>
      <w:tr w:rsidR="00B60BE2" w:rsidRPr="00485F3D" w14:paraId="62AE89F4" w14:textId="77777777" w:rsidTr="000A3B84">
        <w:tc>
          <w:tcPr>
            <w:tcW w:w="4505" w:type="dxa"/>
          </w:tcPr>
          <w:p w14:paraId="18ECC920" w14:textId="2B5E07B3" w:rsidR="00B60BE2" w:rsidRPr="00EC2409" w:rsidRDefault="00B60BE2" w:rsidP="005503FE">
            <w:pPr>
              <w:rPr>
                <w:b/>
                <w:sz w:val="28"/>
                <w:szCs w:val="28"/>
                <w:u w:val="single"/>
              </w:rPr>
            </w:pPr>
            <w:r w:rsidRPr="00EC2409">
              <w:rPr>
                <w:b/>
                <w:sz w:val="28"/>
                <w:szCs w:val="28"/>
                <w:u w:val="single"/>
              </w:rPr>
              <w:t>Zuclopentixol</w:t>
            </w:r>
          </w:p>
        </w:tc>
        <w:tc>
          <w:tcPr>
            <w:tcW w:w="10521" w:type="dxa"/>
          </w:tcPr>
          <w:p w14:paraId="4EEC84C6" w14:textId="283BE852" w:rsidR="00B60BE2" w:rsidRPr="00485F3D" w:rsidRDefault="007C5414" w:rsidP="005503FE">
            <w:r>
              <w:t>Deep IM injection into gluteal or lateral thigh</w:t>
            </w:r>
          </w:p>
        </w:tc>
      </w:tr>
      <w:tr w:rsidR="00B60BE2" w:rsidRPr="00485F3D" w14:paraId="1D43F2AC" w14:textId="77777777" w:rsidTr="000A3B84">
        <w:tc>
          <w:tcPr>
            <w:tcW w:w="4505" w:type="dxa"/>
          </w:tcPr>
          <w:p w14:paraId="46542FAB" w14:textId="02D30BFF" w:rsidR="00B60BE2" w:rsidRPr="00EC2409" w:rsidRDefault="00B60BE2" w:rsidP="005503FE">
            <w:pPr>
              <w:rPr>
                <w:b/>
                <w:sz w:val="28"/>
                <w:szCs w:val="28"/>
                <w:u w:val="single"/>
              </w:rPr>
            </w:pPr>
            <w:r w:rsidRPr="00EC2409">
              <w:rPr>
                <w:b/>
                <w:sz w:val="28"/>
                <w:szCs w:val="28"/>
                <w:u w:val="single"/>
              </w:rPr>
              <w:t>Fluphenazine (</w:t>
            </w:r>
            <w:r w:rsidRPr="00EC2409">
              <w:rPr>
                <w:b/>
                <w:sz w:val="28"/>
                <w:szCs w:val="28"/>
              </w:rPr>
              <w:t>DISCONTINUED IN UK)</w:t>
            </w:r>
          </w:p>
        </w:tc>
        <w:tc>
          <w:tcPr>
            <w:tcW w:w="10521" w:type="dxa"/>
          </w:tcPr>
          <w:p w14:paraId="26B5888B" w14:textId="64D792BC" w:rsidR="00B60BE2" w:rsidRPr="00485F3D" w:rsidRDefault="007C5414" w:rsidP="005503FE">
            <w:r>
              <w:t>Deep IM injection into gluteal muscle</w:t>
            </w:r>
          </w:p>
        </w:tc>
      </w:tr>
      <w:tr w:rsidR="00B60BE2" w:rsidRPr="00485F3D" w14:paraId="4EE3FE37" w14:textId="77777777" w:rsidTr="000A3B84">
        <w:tc>
          <w:tcPr>
            <w:tcW w:w="4505" w:type="dxa"/>
          </w:tcPr>
          <w:p w14:paraId="4BBA56D5" w14:textId="57716B3D" w:rsidR="00B60BE2" w:rsidRPr="00EC2409" w:rsidRDefault="00B60BE2" w:rsidP="005503FE">
            <w:pPr>
              <w:rPr>
                <w:b/>
                <w:sz w:val="28"/>
                <w:szCs w:val="28"/>
                <w:u w:val="single"/>
              </w:rPr>
            </w:pPr>
            <w:r w:rsidRPr="00EC2409">
              <w:rPr>
                <w:b/>
                <w:sz w:val="28"/>
                <w:szCs w:val="28"/>
                <w:u w:val="single"/>
              </w:rPr>
              <w:t xml:space="preserve">Pipothiazine </w:t>
            </w:r>
            <w:r w:rsidRPr="00EC2409">
              <w:rPr>
                <w:b/>
                <w:sz w:val="28"/>
                <w:szCs w:val="28"/>
              </w:rPr>
              <w:t>(DISCONTINUED IN UK)</w:t>
            </w:r>
          </w:p>
        </w:tc>
        <w:tc>
          <w:tcPr>
            <w:tcW w:w="10521" w:type="dxa"/>
          </w:tcPr>
          <w:p w14:paraId="46A1F941" w14:textId="0D35244B" w:rsidR="00B60BE2" w:rsidRPr="00485F3D" w:rsidRDefault="007C5414" w:rsidP="005503FE">
            <w:r>
              <w:t>Deep IM injection into gluteal or late</w:t>
            </w:r>
            <w:r w:rsidR="00557BD6">
              <w:t>r</w:t>
            </w:r>
            <w:r>
              <w:t>al thigh</w:t>
            </w:r>
          </w:p>
        </w:tc>
      </w:tr>
      <w:tr w:rsidR="00B60BE2" w:rsidRPr="00485F3D" w14:paraId="3A00A847" w14:textId="77777777" w:rsidTr="000A3B84">
        <w:tc>
          <w:tcPr>
            <w:tcW w:w="4505" w:type="dxa"/>
          </w:tcPr>
          <w:p w14:paraId="36BCAB71" w14:textId="38E0521E" w:rsidR="00B60BE2" w:rsidRPr="00EC2409" w:rsidRDefault="00B60BE2" w:rsidP="005503FE">
            <w:pPr>
              <w:rPr>
                <w:b/>
                <w:sz w:val="28"/>
                <w:szCs w:val="28"/>
                <w:u w:val="single"/>
              </w:rPr>
            </w:pPr>
            <w:r w:rsidRPr="00EC2409">
              <w:rPr>
                <w:b/>
                <w:sz w:val="28"/>
                <w:szCs w:val="28"/>
                <w:u w:val="single"/>
              </w:rPr>
              <w:t>Aripiprazole</w:t>
            </w:r>
          </w:p>
        </w:tc>
        <w:tc>
          <w:tcPr>
            <w:tcW w:w="10521" w:type="dxa"/>
          </w:tcPr>
          <w:p w14:paraId="7F09E770" w14:textId="2F9A6C76" w:rsidR="00B60BE2" w:rsidRPr="00485F3D" w:rsidRDefault="007C5414" w:rsidP="005503FE">
            <w:r>
              <w:t>Deep IM injection into gluteal or deltoid muscle</w:t>
            </w:r>
          </w:p>
        </w:tc>
      </w:tr>
      <w:tr w:rsidR="00B60BE2" w:rsidRPr="00485F3D" w14:paraId="3CB1BB01" w14:textId="77777777" w:rsidTr="000A3B84">
        <w:tc>
          <w:tcPr>
            <w:tcW w:w="4505" w:type="dxa"/>
          </w:tcPr>
          <w:p w14:paraId="4506EC86" w14:textId="5AEC1898" w:rsidR="00B60BE2" w:rsidRPr="00EC2409" w:rsidRDefault="00B60BE2" w:rsidP="005503FE">
            <w:pPr>
              <w:rPr>
                <w:b/>
                <w:sz w:val="28"/>
                <w:szCs w:val="28"/>
                <w:u w:val="single"/>
              </w:rPr>
            </w:pPr>
            <w:r w:rsidRPr="00EC2409">
              <w:rPr>
                <w:b/>
                <w:sz w:val="28"/>
                <w:szCs w:val="28"/>
                <w:u w:val="single"/>
              </w:rPr>
              <w:t>Olanzapine</w:t>
            </w:r>
          </w:p>
        </w:tc>
        <w:tc>
          <w:tcPr>
            <w:tcW w:w="10521" w:type="dxa"/>
          </w:tcPr>
          <w:p w14:paraId="35ACAE91" w14:textId="35C9DDD2" w:rsidR="00B60BE2" w:rsidRPr="00485F3D" w:rsidRDefault="007C5414" w:rsidP="005503FE">
            <w:r>
              <w:t>Deep IM injection into gluteal muscle</w:t>
            </w:r>
          </w:p>
        </w:tc>
      </w:tr>
      <w:tr w:rsidR="00B60BE2" w:rsidRPr="00485F3D" w14:paraId="5958126A" w14:textId="77777777" w:rsidTr="000A3B84">
        <w:tc>
          <w:tcPr>
            <w:tcW w:w="4505" w:type="dxa"/>
          </w:tcPr>
          <w:p w14:paraId="0E020B67" w14:textId="5C628FC4" w:rsidR="00B60BE2" w:rsidRPr="00EC2409" w:rsidRDefault="00B60BE2" w:rsidP="005503FE">
            <w:pPr>
              <w:rPr>
                <w:b/>
                <w:sz w:val="28"/>
                <w:szCs w:val="28"/>
                <w:u w:val="single"/>
              </w:rPr>
            </w:pPr>
            <w:r w:rsidRPr="00EC2409">
              <w:rPr>
                <w:b/>
                <w:sz w:val="28"/>
                <w:szCs w:val="28"/>
                <w:u w:val="single"/>
              </w:rPr>
              <w:t>Paliperidone</w:t>
            </w:r>
          </w:p>
        </w:tc>
        <w:tc>
          <w:tcPr>
            <w:tcW w:w="10521" w:type="dxa"/>
          </w:tcPr>
          <w:p w14:paraId="7F7C29AF" w14:textId="523FA922" w:rsidR="00B60BE2" w:rsidRPr="00485F3D" w:rsidRDefault="007C5414" w:rsidP="005503FE">
            <w:r>
              <w:t>Deep IM injection into gluteal or deltoid muscle (first two loading doses must be deltoid)</w:t>
            </w:r>
          </w:p>
        </w:tc>
      </w:tr>
      <w:tr w:rsidR="00B60BE2" w:rsidRPr="00485F3D" w14:paraId="71900EA5" w14:textId="77777777" w:rsidTr="000A3B84">
        <w:tc>
          <w:tcPr>
            <w:tcW w:w="4505" w:type="dxa"/>
          </w:tcPr>
          <w:p w14:paraId="46B4064C" w14:textId="0345C89F" w:rsidR="00B60BE2" w:rsidRPr="00EC2409" w:rsidRDefault="00B60BE2" w:rsidP="005503FE">
            <w:pPr>
              <w:rPr>
                <w:b/>
                <w:sz w:val="28"/>
                <w:szCs w:val="28"/>
                <w:u w:val="single"/>
              </w:rPr>
            </w:pPr>
            <w:r w:rsidRPr="00EC2409">
              <w:rPr>
                <w:b/>
                <w:sz w:val="28"/>
                <w:szCs w:val="28"/>
                <w:u w:val="single"/>
              </w:rPr>
              <w:t>Risperdal Consta</w:t>
            </w:r>
          </w:p>
        </w:tc>
        <w:tc>
          <w:tcPr>
            <w:tcW w:w="10521" w:type="dxa"/>
          </w:tcPr>
          <w:p w14:paraId="03626A2E" w14:textId="4E1155D2" w:rsidR="00B60BE2" w:rsidRPr="00485F3D" w:rsidRDefault="007C5414" w:rsidP="005503FE">
            <w:r>
              <w:t>Deep IM injection into gluteal or deltoid muscle</w:t>
            </w:r>
          </w:p>
        </w:tc>
      </w:tr>
    </w:tbl>
    <w:p w14:paraId="4D43F1BC" w14:textId="77777777" w:rsidR="00B60BE2" w:rsidRDefault="00B60BE2" w:rsidP="00327115">
      <w:pPr>
        <w:rPr>
          <w:u w:val="single"/>
        </w:rPr>
      </w:pPr>
    </w:p>
    <w:p w14:paraId="242E5AD5" w14:textId="4C0DFB63" w:rsidR="00405D1A" w:rsidRDefault="00890EBF" w:rsidP="001E421A">
      <w:pPr>
        <w:rPr>
          <w:b/>
          <w:bCs/>
        </w:rPr>
      </w:pPr>
      <w:r>
        <w:rPr>
          <w:b/>
          <w:bCs/>
        </w:rPr>
        <w:t>References:</w:t>
      </w:r>
    </w:p>
    <w:p w14:paraId="4F71D3A4" w14:textId="249D3D9A" w:rsidR="00890EBF" w:rsidRDefault="00890EBF" w:rsidP="00890EBF">
      <w:pPr>
        <w:pStyle w:val="ListParagraph"/>
        <w:numPr>
          <w:ilvl w:val="0"/>
          <w:numId w:val="2"/>
        </w:numPr>
      </w:pPr>
      <w:r>
        <w:t>Bazier, S. (2018) Psychotropic Drug Directory.  Lloyd-Reinhold Publications Ltd</w:t>
      </w:r>
    </w:p>
    <w:p w14:paraId="3F5106AD" w14:textId="7784A483" w:rsidR="007C5414" w:rsidRDefault="007C5414" w:rsidP="00890EBF">
      <w:pPr>
        <w:pStyle w:val="ListParagraph"/>
        <w:numPr>
          <w:ilvl w:val="0"/>
          <w:numId w:val="2"/>
        </w:numPr>
      </w:pPr>
      <w:r>
        <w:t>Janssen (2016) Guidance on the Administration to Adults of Oil-based Depot and other Long-Acting Intramuscular Antipsychotic Injections.  5</w:t>
      </w:r>
      <w:r w:rsidRPr="007C5414">
        <w:rPr>
          <w:vertAlign w:val="superscript"/>
        </w:rPr>
        <w:t>th</w:t>
      </w:r>
      <w:r>
        <w:t xml:space="preserve"> Edition.  Available Online [Accessed 23/03/2020].  Available from:  </w:t>
      </w:r>
      <w:hyperlink r:id="rId10" w:history="1">
        <w:r>
          <w:rPr>
            <w:rStyle w:val="Hyperlink"/>
          </w:rPr>
          <w:t>https://www.hpft.nhs.uk/media/1707/guidance-on-administration-of-oil-based-depot-and-long-acting-im-antipsychotic-injections-sept-2011.pdf</w:t>
        </w:r>
      </w:hyperlink>
      <w:r>
        <w:t xml:space="preserve"> </w:t>
      </w:r>
    </w:p>
    <w:p w14:paraId="15C15A84" w14:textId="0D65A0FC" w:rsidR="00F17C43" w:rsidRDefault="00F17C43" w:rsidP="00890EBF">
      <w:pPr>
        <w:pStyle w:val="ListParagraph"/>
        <w:numPr>
          <w:ilvl w:val="0"/>
          <w:numId w:val="2"/>
        </w:numPr>
      </w:pPr>
      <w:r>
        <w:t xml:space="preserve">NHS England (2020) Coronavirus Guidance for Clinicians and NHS Managers.  NHS England and NHS Improvement.  Available Online [Accessed 23/03/2020].  Available from:  </w:t>
      </w:r>
      <w:hyperlink r:id="rId11" w:history="1">
        <w:r>
          <w:rPr>
            <w:rStyle w:val="Hyperlink"/>
          </w:rPr>
          <w:t>https://www.england.nhs.uk/coronavirus/</w:t>
        </w:r>
      </w:hyperlink>
    </w:p>
    <w:p w14:paraId="691D51F6" w14:textId="677E71C6" w:rsidR="007C5414" w:rsidRPr="00890EBF" w:rsidRDefault="007C5414" w:rsidP="007C5414"/>
    <w:sectPr w:rsidR="007C5414" w:rsidRPr="00890EBF" w:rsidSect="00417654">
      <w:headerReference w:type="default" r:id="rId12"/>
      <w:footerReference w:type="default" r:id="rId13"/>
      <w:pgSz w:w="16838" w:h="11906" w:orient="landscape"/>
      <w:pgMar w:top="1134" w:right="1440" w:bottom="56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B8E26" w14:textId="77777777" w:rsidR="00F32153" w:rsidRDefault="00F32153" w:rsidP="006F2899">
      <w:pPr>
        <w:spacing w:after="0" w:line="240" w:lineRule="auto"/>
      </w:pPr>
      <w:r>
        <w:separator/>
      </w:r>
    </w:p>
  </w:endnote>
  <w:endnote w:type="continuationSeparator" w:id="0">
    <w:p w14:paraId="261EEC1B" w14:textId="77777777" w:rsidR="00F32153" w:rsidRDefault="00F32153" w:rsidP="006F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67B96" w14:textId="1293E02E" w:rsidR="00677958" w:rsidRPr="002351CF" w:rsidRDefault="00EC2409" w:rsidP="00677958">
    <w:pPr>
      <w:pStyle w:val="Footer"/>
      <w:pBdr>
        <w:top w:val="thinThickSmallGap" w:sz="24" w:space="1" w:color="622423" w:themeColor="accent2" w:themeShade="7F"/>
      </w:pBdr>
      <w:rPr>
        <w:rFonts w:eastAsiaTheme="majorEastAsia" w:cs="Arial"/>
      </w:rPr>
    </w:pPr>
    <w:r w:rsidRPr="002351CF">
      <w:rPr>
        <w:rFonts w:eastAsiaTheme="majorEastAsia" w:cs="Arial"/>
      </w:rPr>
      <w:t>The Pharmacy Community Services/ Pharmacy Medicine Optimisation Liaison Team (March 2020)</w:t>
    </w:r>
    <w:r w:rsidR="00677958" w:rsidRPr="002351CF">
      <w:rPr>
        <w:rFonts w:eastAsiaTheme="majorEastAsia" w:cs="Arial"/>
      </w:rPr>
      <w:t xml:space="preserve"> email address:</w:t>
    </w:r>
    <w:hyperlink r:id="rId1" w:history="1">
      <w:r w:rsidR="00677958" w:rsidRPr="002351CF">
        <w:rPr>
          <w:rStyle w:val="Hyperlink"/>
          <w:rFonts w:eastAsiaTheme="majorEastAsia" w:cs="Arial"/>
        </w:rPr>
        <w:t>molspharmacy.lypft@nhs.net</w:t>
      </w:r>
    </w:hyperlink>
  </w:p>
  <w:p w14:paraId="6AC23DBD" w14:textId="424D2C7D" w:rsidR="00EC2409" w:rsidRDefault="00EC240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7618C" w:rsidRPr="0067618C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2F3B305" w14:textId="77777777" w:rsidR="00EC2409" w:rsidRDefault="00EC2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FCEE6" w14:textId="77777777" w:rsidR="00F32153" w:rsidRDefault="00F32153" w:rsidP="006F2899">
      <w:pPr>
        <w:spacing w:after="0" w:line="240" w:lineRule="auto"/>
      </w:pPr>
      <w:r>
        <w:separator/>
      </w:r>
    </w:p>
  </w:footnote>
  <w:footnote w:type="continuationSeparator" w:id="0">
    <w:p w14:paraId="0440A3F0" w14:textId="77777777" w:rsidR="00F32153" w:rsidRDefault="00F32153" w:rsidP="006F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EA28C" w14:textId="0CFF1375" w:rsidR="00F17C43" w:rsidRDefault="00F17C43" w:rsidP="00F17C43">
    <w:pPr>
      <w:pStyle w:val="Header"/>
      <w:jc w:val="right"/>
    </w:pPr>
    <w:r>
      <w:rPr>
        <w:noProof/>
        <w:lang w:eastAsia="en-GB"/>
      </w:rPr>
      <w:drawing>
        <wp:inline distT="0" distB="0" distL="0" distR="0" wp14:anchorId="7EC62A8D" wp14:editId="2901B1F5">
          <wp:extent cx="1743075" cy="506773"/>
          <wp:effectExtent l="0" t="0" r="0" b="7620"/>
          <wp:docPr id="2" name="Picture 2" descr="Image result for lyp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yp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762" cy="512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E5"/>
    <w:multiLevelType w:val="hybridMultilevel"/>
    <w:tmpl w:val="718C6B68"/>
    <w:lvl w:ilvl="0" w:tplc="6B48F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F4429"/>
    <w:multiLevelType w:val="hybridMultilevel"/>
    <w:tmpl w:val="2A00C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92B18"/>
    <w:multiLevelType w:val="hybridMultilevel"/>
    <w:tmpl w:val="DBC010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B104D"/>
    <w:multiLevelType w:val="hybridMultilevel"/>
    <w:tmpl w:val="6728C75A"/>
    <w:lvl w:ilvl="0" w:tplc="FA427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72E05"/>
    <w:multiLevelType w:val="hybridMultilevel"/>
    <w:tmpl w:val="10B2E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C70949"/>
    <w:multiLevelType w:val="hybridMultilevel"/>
    <w:tmpl w:val="F8044E0C"/>
    <w:lvl w:ilvl="0" w:tplc="83802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816D2"/>
    <w:multiLevelType w:val="hybridMultilevel"/>
    <w:tmpl w:val="0DF00BF8"/>
    <w:lvl w:ilvl="0" w:tplc="6AA819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5407E"/>
    <w:multiLevelType w:val="hybridMultilevel"/>
    <w:tmpl w:val="AE00A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80"/>
    <w:rsid w:val="00010C12"/>
    <w:rsid w:val="00025A80"/>
    <w:rsid w:val="000A3B84"/>
    <w:rsid w:val="000C5ECC"/>
    <w:rsid w:val="001E421A"/>
    <w:rsid w:val="00220277"/>
    <w:rsid w:val="002351CF"/>
    <w:rsid w:val="002501E2"/>
    <w:rsid w:val="00254F9F"/>
    <w:rsid w:val="00262500"/>
    <w:rsid w:val="0032005B"/>
    <w:rsid w:val="00327115"/>
    <w:rsid w:val="00337E3E"/>
    <w:rsid w:val="0037318A"/>
    <w:rsid w:val="004038C4"/>
    <w:rsid w:val="00405D1A"/>
    <w:rsid w:val="00417654"/>
    <w:rsid w:val="0044740C"/>
    <w:rsid w:val="00485F3D"/>
    <w:rsid w:val="00495C41"/>
    <w:rsid w:val="004A68ED"/>
    <w:rsid w:val="004B5948"/>
    <w:rsid w:val="00533D69"/>
    <w:rsid w:val="00557BD6"/>
    <w:rsid w:val="005B684A"/>
    <w:rsid w:val="005B7D1E"/>
    <w:rsid w:val="005D414C"/>
    <w:rsid w:val="006612FB"/>
    <w:rsid w:val="00672027"/>
    <w:rsid w:val="0067618C"/>
    <w:rsid w:val="00677958"/>
    <w:rsid w:val="006851C3"/>
    <w:rsid w:val="006C6CF1"/>
    <w:rsid w:val="006D20CE"/>
    <w:rsid w:val="006D67EB"/>
    <w:rsid w:val="006F2899"/>
    <w:rsid w:val="00702859"/>
    <w:rsid w:val="0075526C"/>
    <w:rsid w:val="0078668C"/>
    <w:rsid w:val="007A64CE"/>
    <w:rsid w:val="007C5414"/>
    <w:rsid w:val="007C6EB1"/>
    <w:rsid w:val="00836ED1"/>
    <w:rsid w:val="00843615"/>
    <w:rsid w:val="00890EBF"/>
    <w:rsid w:val="008A0D3B"/>
    <w:rsid w:val="00953963"/>
    <w:rsid w:val="00966172"/>
    <w:rsid w:val="009677B7"/>
    <w:rsid w:val="00990969"/>
    <w:rsid w:val="00997B4E"/>
    <w:rsid w:val="009B36B8"/>
    <w:rsid w:val="009D40A5"/>
    <w:rsid w:val="00A15799"/>
    <w:rsid w:val="00A623D9"/>
    <w:rsid w:val="00AB5420"/>
    <w:rsid w:val="00AC41E1"/>
    <w:rsid w:val="00AD6F1B"/>
    <w:rsid w:val="00B0246F"/>
    <w:rsid w:val="00B60BE2"/>
    <w:rsid w:val="00B86D55"/>
    <w:rsid w:val="00B968BA"/>
    <w:rsid w:val="00BE4778"/>
    <w:rsid w:val="00C90477"/>
    <w:rsid w:val="00CA4E6A"/>
    <w:rsid w:val="00CD3A7E"/>
    <w:rsid w:val="00CD4B34"/>
    <w:rsid w:val="00E13E12"/>
    <w:rsid w:val="00E14165"/>
    <w:rsid w:val="00E37B0B"/>
    <w:rsid w:val="00E45D3F"/>
    <w:rsid w:val="00E45D8E"/>
    <w:rsid w:val="00EC2409"/>
    <w:rsid w:val="00ED0C4C"/>
    <w:rsid w:val="00F049F4"/>
    <w:rsid w:val="00F17C43"/>
    <w:rsid w:val="00F32153"/>
    <w:rsid w:val="00F3525E"/>
    <w:rsid w:val="00F44675"/>
    <w:rsid w:val="00F55BD8"/>
    <w:rsid w:val="00FB3963"/>
    <w:rsid w:val="00FC5CF7"/>
    <w:rsid w:val="00FF1D89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03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0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2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899"/>
  </w:style>
  <w:style w:type="paragraph" w:styleId="Footer">
    <w:name w:val="footer"/>
    <w:basedOn w:val="Normal"/>
    <w:link w:val="FooterChar"/>
    <w:uiPriority w:val="99"/>
    <w:unhideWhenUsed/>
    <w:rsid w:val="006F2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899"/>
  </w:style>
  <w:style w:type="character" w:styleId="Hyperlink">
    <w:name w:val="Hyperlink"/>
    <w:basedOn w:val="DefaultParagraphFont"/>
    <w:uiPriority w:val="99"/>
    <w:unhideWhenUsed/>
    <w:rsid w:val="007C541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74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474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4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9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9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9F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3E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E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0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2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899"/>
  </w:style>
  <w:style w:type="paragraph" w:styleId="Footer">
    <w:name w:val="footer"/>
    <w:basedOn w:val="Normal"/>
    <w:link w:val="FooterChar"/>
    <w:uiPriority w:val="99"/>
    <w:unhideWhenUsed/>
    <w:rsid w:val="006F2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899"/>
  </w:style>
  <w:style w:type="character" w:styleId="Hyperlink">
    <w:name w:val="Hyperlink"/>
    <w:basedOn w:val="DefaultParagraphFont"/>
    <w:uiPriority w:val="99"/>
    <w:unhideWhenUsed/>
    <w:rsid w:val="007C541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74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474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4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9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9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9F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3E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E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cyleedspft.lypft@nhs.ne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ngland.nhs.uk/coronaviru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pft.nhs.uk/media/1707/guidance-on-administration-of-oil-based-depot-and-long-acting-im-antipsychotic-injections-sept-2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rmacyleedspft.lypft@nhs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lspharmacy.lypft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Naeema Majothi</dc:creator>
  <cp:lastModifiedBy>Saeideh Saeidi</cp:lastModifiedBy>
  <cp:revision>2</cp:revision>
  <dcterms:created xsi:type="dcterms:W3CDTF">2020-04-07T12:22:00Z</dcterms:created>
  <dcterms:modified xsi:type="dcterms:W3CDTF">2020-04-07T12:22:00Z</dcterms:modified>
</cp:coreProperties>
</file>