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929D1" w14:textId="77777777" w:rsidR="005B35F9" w:rsidRPr="00BB7BCB" w:rsidRDefault="005B35F9" w:rsidP="004F4F74">
      <w:pPr>
        <w:jc w:val="center"/>
        <w:rPr>
          <w:rFonts w:asciiTheme="minorHAnsi" w:hAnsiTheme="minorHAnsi" w:cstheme="minorBidi"/>
          <w:b/>
          <w:color w:val="1F497D" w:themeColor="dark2"/>
          <w:sz w:val="32"/>
          <w:szCs w:val="32"/>
          <w:u w:val="single"/>
        </w:rPr>
      </w:pPr>
      <w:bookmarkStart w:id="0" w:name="_GoBack"/>
      <w:bookmarkEnd w:id="0"/>
      <w:r w:rsidRPr="00BB7BCB">
        <w:rPr>
          <w:rFonts w:asciiTheme="minorHAnsi" w:hAnsiTheme="minorHAnsi" w:cstheme="minorBidi"/>
          <w:b/>
          <w:color w:val="1F497D" w:themeColor="dark2"/>
          <w:sz w:val="32"/>
          <w:szCs w:val="32"/>
          <w:u w:val="single"/>
        </w:rPr>
        <w:t>COVID – Movement of Medication</w:t>
      </w:r>
    </w:p>
    <w:p w14:paraId="1C4929D2" w14:textId="77777777" w:rsidR="005B35F9" w:rsidRDefault="005B35F9" w:rsidP="00905952">
      <w:pPr>
        <w:rPr>
          <w:rFonts w:asciiTheme="minorHAnsi" w:hAnsiTheme="minorHAnsi" w:cstheme="minorBidi"/>
          <w:color w:val="1F497D" w:themeColor="dark2"/>
        </w:rPr>
      </w:pPr>
    </w:p>
    <w:p w14:paraId="1C4929D3" w14:textId="77777777" w:rsidR="005B35F9" w:rsidRPr="00BB7BCB" w:rsidRDefault="00390218" w:rsidP="00390218">
      <w:pPr>
        <w:rPr>
          <w:rFonts w:asciiTheme="minorHAnsi" w:hAnsiTheme="minorHAnsi" w:cstheme="minorBidi"/>
          <w:b/>
          <w:color w:val="1F497D" w:themeColor="dark2"/>
          <w:sz w:val="28"/>
          <w:szCs w:val="28"/>
        </w:rPr>
      </w:pPr>
      <w:r w:rsidRPr="00BB7BCB">
        <w:rPr>
          <w:rFonts w:asciiTheme="minorHAnsi" w:hAnsiTheme="minorHAnsi" w:cstheme="minorBidi"/>
          <w:b/>
          <w:color w:val="1F497D" w:themeColor="dark2"/>
          <w:sz w:val="28"/>
          <w:szCs w:val="28"/>
        </w:rPr>
        <w:t>Principles</w:t>
      </w:r>
    </w:p>
    <w:p w14:paraId="1C4929D4" w14:textId="77777777" w:rsidR="005B35F9" w:rsidRPr="00390218" w:rsidRDefault="005B35F9" w:rsidP="00390218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1F497D" w:themeColor="dark2"/>
        </w:rPr>
      </w:pPr>
      <w:r w:rsidRPr="00390218">
        <w:rPr>
          <w:rFonts w:asciiTheme="minorHAnsi" w:hAnsiTheme="minorHAnsi" w:cstheme="minorBidi"/>
          <w:color w:val="1F497D" w:themeColor="dark2"/>
        </w:rPr>
        <w:t>Minimise pressure on the medicines supply chain</w:t>
      </w:r>
    </w:p>
    <w:p w14:paraId="1C4929D5" w14:textId="77777777" w:rsidR="005B35F9" w:rsidRPr="00390218" w:rsidRDefault="005B35F9" w:rsidP="00390218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1F497D" w:themeColor="dark2"/>
        </w:rPr>
      </w:pPr>
      <w:r w:rsidRPr="00390218">
        <w:rPr>
          <w:rFonts w:asciiTheme="minorHAnsi" w:hAnsiTheme="minorHAnsi" w:cstheme="minorBidi"/>
          <w:color w:val="1F497D" w:themeColor="dark2"/>
        </w:rPr>
        <w:t xml:space="preserve">Reduce the risk of </w:t>
      </w:r>
      <w:r w:rsidR="00761DDB">
        <w:rPr>
          <w:rFonts w:asciiTheme="minorHAnsi" w:hAnsiTheme="minorHAnsi" w:cstheme="minorBidi"/>
          <w:color w:val="1F497D" w:themeColor="dark2"/>
        </w:rPr>
        <w:t>infection spread</w:t>
      </w:r>
    </w:p>
    <w:p w14:paraId="1C4929D6" w14:textId="77777777" w:rsidR="005B35F9" w:rsidRDefault="005B35F9" w:rsidP="00905952">
      <w:pPr>
        <w:rPr>
          <w:rFonts w:asciiTheme="minorHAnsi" w:hAnsiTheme="minorHAnsi" w:cstheme="minorBidi"/>
          <w:color w:val="1F497D" w:themeColor="dark2"/>
        </w:rPr>
      </w:pPr>
    </w:p>
    <w:p w14:paraId="1C4929D7" w14:textId="77777777" w:rsidR="005B35F9" w:rsidRDefault="005B35F9" w:rsidP="00905952">
      <w:pPr>
        <w:rPr>
          <w:rFonts w:asciiTheme="minorHAnsi" w:hAnsiTheme="minorHAnsi" w:cstheme="minorBidi"/>
          <w:color w:val="1F497D" w:themeColor="dark2"/>
        </w:rPr>
      </w:pPr>
    </w:p>
    <w:p w14:paraId="1C4929D8" w14:textId="77777777" w:rsidR="005B35F9" w:rsidRPr="00390218" w:rsidRDefault="008001A3" w:rsidP="00905952">
      <w:pPr>
        <w:rPr>
          <w:rFonts w:asciiTheme="minorHAnsi" w:hAnsiTheme="minorHAnsi" w:cstheme="minorBidi"/>
          <w:b/>
          <w:color w:val="1F497D" w:themeColor="dark2"/>
        </w:rPr>
      </w:pPr>
      <w:r>
        <w:rPr>
          <w:rFonts w:asciiTheme="minorHAnsi" w:hAnsiTheme="minorHAnsi" w:cstheme="minorBidi"/>
          <w:b/>
          <w:color w:val="1F497D" w:themeColor="dark2"/>
        </w:rPr>
        <w:t>W</w:t>
      </w:r>
      <w:r w:rsidRPr="00390218">
        <w:rPr>
          <w:rFonts w:asciiTheme="minorHAnsi" w:hAnsiTheme="minorHAnsi" w:cstheme="minorBidi"/>
          <w:b/>
          <w:color w:val="1F497D" w:themeColor="dark2"/>
        </w:rPr>
        <w:t xml:space="preserve">hen handling PODs and any medication that has been </w:t>
      </w:r>
      <w:r>
        <w:rPr>
          <w:rFonts w:asciiTheme="minorHAnsi" w:hAnsiTheme="minorHAnsi" w:cstheme="minorBidi"/>
          <w:b/>
          <w:color w:val="1F497D" w:themeColor="dark2"/>
        </w:rPr>
        <w:t>in clinical areas ie wards/ units</w:t>
      </w:r>
      <w:r w:rsidR="00761DDB">
        <w:rPr>
          <w:rFonts w:asciiTheme="minorHAnsi" w:hAnsiTheme="minorHAnsi" w:cstheme="minorBidi"/>
          <w:b/>
          <w:color w:val="1F497D" w:themeColor="dark2"/>
        </w:rPr>
        <w:t>,</w:t>
      </w:r>
      <w:r>
        <w:rPr>
          <w:rFonts w:asciiTheme="minorHAnsi" w:hAnsiTheme="minorHAnsi" w:cstheme="minorBidi"/>
          <w:b/>
          <w:color w:val="1F497D" w:themeColor="dark2"/>
        </w:rPr>
        <w:t xml:space="preserve"> w</w:t>
      </w:r>
      <w:r w:rsidRPr="00390218">
        <w:rPr>
          <w:rFonts w:asciiTheme="minorHAnsi" w:hAnsiTheme="minorHAnsi" w:cstheme="minorBidi"/>
          <w:b/>
          <w:color w:val="1F497D" w:themeColor="dark2"/>
        </w:rPr>
        <w:t xml:space="preserve">ear gloves </w:t>
      </w:r>
      <w:r w:rsidR="005B35F9" w:rsidRPr="00390218">
        <w:rPr>
          <w:rFonts w:asciiTheme="minorHAnsi" w:hAnsiTheme="minorHAnsi" w:cstheme="minorBidi"/>
          <w:b/>
          <w:color w:val="1F497D" w:themeColor="dark2"/>
        </w:rPr>
        <w:t xml:space="preserve">and/or wash hands </w:t>
      </w:r>
      <w:r>
        <w:rPr>
          <w:rFonts w:asciiTheme="minorHAnsi" w:hAnsiTheme="minorHAnsi" w:cstheme="minorBidi"/>
          <w:b/>
          <w:color w:val="1F497D" w:themeColor="dark2"/>
        </w:rPr>
        <w:t>immediately afterwards.</w:t>
      </w:r>
    </w:p>
    <w:p w14:paraId="1C4929D9" w14:textId="77777777" w:rsidR="00390218" w:rsidRDefault="00390218" w:rsidP="00905952">
      <w:pPr>
        <w:rPr>
          <w:rFonts w:asciiTheme="minorHAnsi" w:hAnsiTheme="minorHAnsi" w:cstheme="minorBidi"/>
          <w:color w:val="1F497D" w:themeColor="dark2"/>
        </w:rPr>
      </w:pPr>
    </w:p>
    <w:p w14:paraId="1C4929DA" w14:textId="77777777" w:rsidR="008C7547" w:rsidRPr="00BB7BCB" w:rsidRDefault="008C7547" w:rsidP="00905952">
      <w:pPr>
        <w:rPr>
          <w:rFonts w:asciiTheme="minorHAnsi" w:hAnsiTheme="minorHAnsi" w:cstheme="minorBidi"/>
          <w:b/>
          <w:color w:val="1F497D" w:themeColor="dark2"/>
          <w:sz w:val="28"/>
          <w:szCs w:val="28"/>
          <w:u w:val="single"/>
        </w:rPr>
      </w:pPr>
      <w:r w:rsidRPr="00BB7BCB">
        <w:rPr>
          <w:rFonts w:asciiTheme="minorHAnsi" w:hAnsiTheme="minorHAnsi" w:cstheme="minorBidi"/>
          <w:b/>
          <w:color w:val="1F497D" w:themeColor="dark2"/>
          <w:sz w:val="28"/>
          <w:szCs w:val="28"/>
          <w:u w:val="single"/>
        </w:rPr>
        <w:t>Returning medication from clinical areas to pharmacy</w:t>
      </w:r>
    </w:p>
    <w:p w14:paraId="1C4929DB" w14:textId="77777777" w:rsidR="008C7547" w:rsidRPr="008C7547" w:rsidRDefault="008C7547" w:rsidP="00905952">
      <w:pPr>
        <w:rPr>
          <w:rFonts w:asciiTheme="minorHAnsi" w:hAnsiTheme="minorHAnsi" w:cstheme="minorBidi"/>
          <w:color w:val="1F497D" w:themeColor="dark2"/>
        </w:rPr>
      </w:pPr>
      <w:r w:rsidRPr="00042FCD">
        <w:rPr>
          <w:rFonts w:asciiTheme="minorHAnsi" w:hAnsiTheme="minorHAnsi" w:cstheme="minorBidi"/>
          <w:b/>
          <w:color w:val="1F497D" w:themeColor="dark2"/>
        </w:rPr>
        <w:t>Where a medication is suitable for re-use</w:t>
      </w:r>
      <w:r w:rsidRPr="008C7547">
        <w:rPr>
          <w:rFonts w:asciiTheme="minorHAnsi" w:hAnsiTheme="minorHAnsi" w:cstheme="minorBidi"/>
          <w:color w:val="1F497D" w:themeColor="dark2"/>
        </w:rPr>
        <w:t>:</w:t>
      </w:r>
    </w:p>
    <w:p w14:paraId="1C4929DC" w14:textId="77777777" w:rsidR="00761DDB" w:rsidRDefault="00390218" w:rsidP="00761DDB">
      <w:pPr>
        <w:rPr>
          <w:rFonts w:asciiTheme="minorHAnsi" w:hAnsiTheme="minorHAnsi" w:cstheme="minorBidi"/>
          <w:color w:val="1F497D" w:themeColor="dark2"/>
        </w:rPr>
      </w:pPr>
      <w:r w:rsidRPr="008C7547">
        <w:rPr>
          <w:rFonts w:asciiTheme="minorHAnsi" w:hAnsiTheme="minorHAnsi" w:cstheme="minorBidi"/>
          <w:b/>
          <w:color w:val="1F497D" w:themeColor="dark2"/>
        </w:rPr>
        <w:t>Quarantine</w:t>
      </w:r>
      <w:r>
        <w:rPr>
          <w:rFonts w:asciiTheme="minorHAnsi" w:hAnsiTheme="minorHAnsi" w:cstheme="minorBidi"/>
          <w:color w:val="1F497D" w:themeColor="dark2"/>
        </w:rPr>
        <w:t xml:space="preserve"> any medication that has come </w:t>
      </w:r>
      <w:r w:rsidR="008C7547">
        <w:rPr>
          <w:rFonts w:asciiTheme="minorHAnsi" w:hAnsiTheme="minorHAnsi" w:cstheme="minorBidi"/>
          <w:color w:val="1F497D" w:themeColor="dark2"/>
        </w:rPr>
        <w:t xml:space="preserve">back to pharmacy </w:t>
      </w:r>
      <w:r>
        <w:rPr>
          <w:rFonts w:asciiTheme="minorHAnsi" w:hAnsiTheme="minorHAnsi" w:cstheme="minorBidi"/>
          <w:color w:val="1F497D" w:themeColor="dark2"/>
        </w:rPr>
        <w:t xml:space="preserve">from a ward/ unit where </w:t>
      </w:r>
      <w:r w:rsidR="008C7547">
        <w:rPr>
          <w:rFonts w:asciiTheme="minorHAnsi" w:hAnsiTheme="minorHAnsi" w:cstheme="minorBidi"/>
          <w:color w:val="1F497D" w:themeColor="dark2"/>
        </w:rPr>
        <w:t>there are confirmed or possible</w:t>
      </w:r>
      <w:r w:rsidR="005B35F9">
        <w:rPr>
          <w:rFonts w:asciiTheme="minorHAnsi" w:hAnsiTheme="minorHAnsi" w:cstheme="minorBidi"/>
          <w:color w:val="1F497D" w:themeColor="dark2"/>
        </w:rPr>
        <w:t xml:space="preserve"> </w:t>
      </w:r>
      <w:r w:rsidRPr="00390218">
        <w:rPr>
          <w:rFonts w:asciiTheme="minorHAnsi" w:hAnsiTheme="minorHAnsi" w:cstheme="minorBidi"/>
          <w:color w:val="1F497D" w:themeColor="dark2"/>
        </w:rPr>
        <w:t>Covid-19 positive</w:t>
      </w:r>
      <w:r>
        <w:rPr>
          <w:rFonts w:asciiTheme="minorHAnsi" w:hAnsiTheme="minorHAnsi" w:cstheme="minorBidi"/>
          <w:color w:val="1F497D" w:themeColor="dark2"/>
        </w:rPr>
        <w:t xml:space="preserve"> cases</w:t>
      </w:r>
      <w:r w:rsidR="008C7547">
        <w:rPr>
          <w:rFonts w:asciiTheme="minorHAnsi" w:hAnsiTheme="minorHAnsi" w:cstheme="minorBidi"/>
          <w:color w:val="1F497D" w:themeColor="dark2"/>
        </w:rPr>
        <w:t xml:space="preserve"> (ie all wards/ units)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Pr="008C7547">
        <w:rPr>
          <w:rFonts w:asciiTheme="minorHAnsi" w:hAnsiTheme="minorHAnsi" w:cstheme="minorBidi"/>
          <w:b/>
          <w:color w:val="1F497D" w:themeColor="dark2"/>
        </w:rPr>
        <w:t xml:space="preserve">for </w:t>
      </w:r>
      <w:r w:rsidR="00761DDB">
        <w:rPr>
          <w:rFonts w:asciiTheme="minorHAnsi" w:hAnsiTheme="minorHAnsi" w:cstheme="minorBidi"/>
          <w:b/>
          <w:color w:val="1F497D" w:themeColor="dark2"/>
        </w:rPr>
        <w:t>72 hours</w:t>
      </w:r>
      <w:r>
        <w:rPr>
          <w:rFonts w:asciiTheme="minorHAnsi" w:hAnsiTheme="minorHAnsi" w:cstheme="minorBidi"/>
          <w:color w:val="1F497D" w:themeColor="dark2"/>
        </w:rPr>
        <w:t xml:space="preserve">. </w:t>
      </w:r>
    </w:p>
    <w:p w14:paraId="1C4929DD" w14:textId="77777777" w:rsidR="00761DDB" w:rsidRDefault="00761DDB" w:rsidP="00761DDB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Essentially this means:</w:t>
      </w:r>
    </w:p>
    <w:p w14:paraId="1C4929DE" w14:textId="77777777" w:rsidR="00761DDB" w:rsidRDefault="00761DDB" w:rsidP="00761DDB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Labelling with the date and time received into pharmacy</w:t>
      </w:r>
    </w:p>
    <w:p w14:paraId="1C4929DF" w14:textId="77777777" w:rsidR="00761DDB" w:rsidRDefault="00761DDB" w:rsidP="00761DDB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P</w:t>
      </w:r>
      <w:r w:rsidRPr="00761DDB">
        <w:rPr>
          <w:rFonts w:asciiTheme="minorHAnsi" w:hAnsiTheme="minorHAnsi" w:cstheme="minorBidi"/>
          <w:color w:val="1F497D" w:themeColor="dark2"/>
        </w:rPr>
        <w:t xml:space="preserve">lacing the medication in a closed bag, box or cupboard within pharmacy </w:t>
      </w:r>
    </w:p>
    <w:p w14:paraId="1C4929E0" w14:textId="77777777" w:rsidR="008C7547" w:rsidRPr="00761DDB" w:rsidRDefault="00761DDB" w:rsidP="00761DDB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N</w:t>
      </w:r>
      <w:r w:rsidR="00390218" w:rsidRPr="00761DDB">
        <w:rPr>
          <w:rFonts w:asciiTheme="minorHAnsi" w:hAnsiTheme="minorHAnsi" w:cstheme="minorBidi"/>
          <w:color w:val="1F497D" w:themeColor="dark2"/>
        </w:rPr>
        <w:t xml:space="preserve">ot handling (other than to put in there) for </w:t>
      </w:r>
      <w:r w:rsidRPr="00761DDB">
        <w:rPr>
          <w:rFonts w:asciiTheme="minorHAnsi" w:hAnsiTheme="minorHAnsi" w:cstheme="minorBidi"/>
          <w:color w:val="1F497D" w:themeColor="dark2"/>
        </w:rPr>
        <w:t>72</w:t>
      </w:r>
      <w:r w:rsidR="00EB678C">
        <w:rPr>
          <w:rFonts w:asciiTheme="minorHAnsi" w:hAnsiTheme="minorHAnsi" w:cstheme="minorBidi"/>
          <w:color w:val="1F497D" w:themeColor="dark2"/>
        </w:rPr>
        <w:t xml:space="preserve"> </w:t>
      </w:r>
      <w:r w:rsidR="00390218" w:rsidRPr="00761DDB">
        <w:rPr>
          <w:rFonts w:asciiTheme="minorHAnsi" w:hAnsiTheme="minorHAnsi" w:cstheme="minorBidi"/>
          <w:color w:val="1F497D" w:themeColor="dark2"/>
        </w:rPr>
        <w:t>h</w:t>
      </w:r>
      <w:r w:rsidR="00EB678C">
        <w:rPr>
          <w:rFonts w:asciiTheme="minorHAnsi" w:hAnsiTheme="minorHAnsi" w:cstheme="minorBidi"/>
          <w:color w:val="1F497D" w:themeColor="dark2"/>
        </w:rPr>
        <w:t>ou</w:t>
      </w:r>
      <w:r w:rsidR="00390218" w:rsidRPr="00761DDB">
        <w:rPr>
          <w:rFonts w:asciiTheme="minorHAnsi" w:hAnsiTheme="minorHAnsi" w:cstheme="minorBidi"/>
          <w:color w:val="1F497D" w:themeColor="dark2"/>
        </w:rPr>
        <w:t>r</w:t>
      </w:r>
      <w:r>
        <w:rPr>
          <w:rFonts w:asciiTheme="minorHAnsi" w:hAnsiTheme="minorHAnsi" w:cstheme="minorBidi"/>
          <w:color w:val="1F497D" w:themeColor="dark2"/>
        </w:rPr>
        <w:t>s</w:t>
      </w:r>
    </w:p>
    <w:p w14:paraId="1C4929E1" w14:textId="77777777" w:rsidR="005B35F9" w:rsidRPr="00042FCD" w:rsidRDefault="00390218" w:rsidP="00042FCD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color w:val="1F497D" w:themeColor="dark2"/>
        </w:rPr>
      </w:pPr>
      <w:r w:rsidRPr="00042FCD">
        <w:rPr>
          <w:rFonts w:asciiTheme="minorHAnsi" w:hAnsiTheme="minorHAnsi" w:cstheme="minorBidi"/>
          <w:color w:val="1F497D" w:themeColor="dark2"/>
        </w:rPr>
        <w:t>If the item is a CD do the same but within the CD cupboard.</w:t>
      </w:r>
    </w:p>
    <w:p w14:paraId="1C4929E2" w14:textId="77777777" w:rsidR="005B35F9" w:rsidRDefault="005B35F9" w:rsidP="00905952">
      <w:pPr>
        <w:rPr>
          <w:rFonts w:asciiTheme="minorHAnsi" w:hAnsiTheme="minorHAnsi" w:cstheme="minorBidi"/>
          <w:color w:val="1F497D" w:themeColor="dark2"/>
        </w:rPr>
      </w:pPr>
    </w:p>
    <w:p w14:paraId="1C4929E3" w14:textId="77777777" w:rsidR="008C7547" w:rsidRPr="00042FCD" w:rsidRDefault="008C7547" w:rsidP="00905952">
      <w:pPr>
        <w:rPr>
          <w:rFonts w:asciiTheme="minorHAnsi" w:hAnsiTheme="minorHAnsi" w:cstheme="minorBidi"/>
          <w:b/>
          <w:color w:val="1F497D" w:themeColor="dark2"/>
        </w:rPr>
      </w:pPr>
      <w:r w:rsidRPr="00042FCD">
        <w:rPr>
          <w:rFonts w:asciiTheme="minorHAnsi" w:hAnsiTheme="minorHAnsi" w:cstheme="minorBidi"/>
          <w:b/>
          <w:color w:val="1F497D" w:themeColor="dark2"/>
        </w:rPr>
        <w:t xml:space="preserve">If a medication is </w:t>
      </w:r>
      <w:r w:rsidR="00042FCD" w:rsidRPr="00042FCD">
        <w:rPr>
          <w:rFonts w:asciiTheme="minorHAnsi" w:hAnsiTheme="minorHAnsi" w:cstheme="minorBidi"/>
          <w:b/>
          <w:color w:val="1F497D" w:themeColor="dark2"/>
        </w:rPr>
        <w:t>n</w:t>
      </w:r>
      <w:r w:rsidRPr="00042FCD">
        <w:rPr>
          <w:rFonts w:asciiTheme="minorHAnsi" w:hAnsiTheme="minorHAnsi" w:cstheme="minorBidi"/>
          <w:b/>
          <w:color w:val="1F497D" w:themeColor="dark2"/>
        </w:rPr>
        <w:t xml:space="preserve">ot suitable for re-use </w:t>
      </w:r>
      <w:r w:rsidRPr="00042FCD">
        <w:rPr>
          <w:rFonts w:asciiTheme="minorHAnsi" w:hAnsiTheme="minorHAnsi" w:cstheme="minorBidi"/>
          <w:color w:val="1F497D" w:themeColor="dark2"/>
        </w:rPr>
        <w:t>destroy on the ward/ unit</w:t>
      </w:r>
      <w:r w:rsidR="00042FCD" w:rsidRPr="00042FCD">
        <w:rPr>
          <w:rFonts w:asciiTheme="minorHAnsi" w:hAnsiTheme="minorHAnsi" w:cstheme="minorBidi"/>
          <w:color w:val="1F497D" w:themeColor="dark2"/>
        </w:rPr>
        <w:t xml:space="preserve"> </w:t>
      </w:r>
      <w:r w:rsidR="006D2956">
        <w:rPr>
          <w:rFonts w:asciiTheme="minorHAnsi" w:hAnsiTheme="minorHAnsi" w:cstheme="minorBidi"/>
          <w:color w:val="1F497D" w:themeColor="dark2"/>
        </w:rPr>
        <w:t xml:space="preserve">in accordance with current </w:t>
      </w:r>
      <w:r w:rsidR="00811CC6">
        <w:rPr>
          <w:rFonts w:asciiTheme="minorHAnsi" w:hAnsiTheme="minorHAnsi" w:cstheme="minorBidi"/>
          <w:color w:val="1F497D" w:themeColor="dark2"/>
        </w:rPr>
        <w:t>Trust policy and place in a b</w:t>
      </w:r>
      <w:r w:rsidR="00811CC6" w:rsidRPr="00811CC6">
        <w:rPr>
          <w:rFonts w:asciiTheme="minorHAnsi" w:hAnsiTheme="minorHAnsi" w:cstheme="minorBidi"/>
          <w:color w:val="1F497D" w:themeColor="dark2"/>
        </w:rPr>
        <w:t xml:space="preserve">lue-lidded </w:t>
      </w:r>
      <w:r w:rsidR="00811CC6">
        <w:rPr>
          <w:rFonts w:asciiTheme="minorHAnsi" w:hAnsiTheme="minorHAnsi" w:cstheme="minorBidi"/>
          <w:color w:val="1F497D" w:themeColor="dark2"/>
        </w:rPr>
        <w:t>waste c</w:t>
      </w:r>
      <w:r w:rsidR="00811CC6" w:rsidRPr="00811CC6">
        <w:rPr>
          <w:rFonts w:asciiTheme="minorHAnsi" w:hAnsiTheme="minorHAnsi" w:cstheme="minorBidi"/>
          <w:color w:val="1F497D" w:themeColor="dark2"/>
        </w:rPr>
        <w:t>ontainer</w:t>
      </w:r>
      <w:r w:rsidR="00811CC6">
        <w:rPr>
          <w:rFonts w:asciiTheme="minorHAnsi" w:hAnsiTheme="minorHAnsi" w:cstheme="minorBidi"/>
          <w:color w:val="1F497D" w:themeColor="dark2"/>
        </w:rPr>
        <w:t>.</w:t>
      </w:r>
    </w:p>
    <w:p w14:paraId="1C4929E4" w14:textId="77777777" w:rsidR="008C7547" w:rsidRDefault="008C7547" w:rsidP="00905952">
      <w:pPr>
        <w:rPr>
          <w:rFonts w:asciiTheme="minorHAnsi" w:hAnsiTheme="minorHAnsi" w:cstheme="minorBidi"/>
          <w:color w:val="1F497D" w:themeColor="dark2"/>
        </w:rPr>
      </w:pPr>
    </w:p>
    <w:p w14:paraId="1C4929E5" w14:textId="77777777" w:rsidR="00042FCD" w:rsidRDefault="00042FCD" w:rsidP="00905952">
      <w:pPr>
        <w:rPr>
          <w:rFonts w:asciiTheme="minorHAnsi" w:hAnsiTheme="minorHAnsi" w:cstheme="minorBidi"/>
          <w:color w:val="1F497D" w:themeColor="dark2"/>
        </w:rPr>
      </w:pPr>
    </w:p>
    <w:p w14:paraId="1C4929E6" w14:textId="77777777" w:rsidR="008C7547" w:rsidRPr="00BB7BCB" w:rsidRDefault="008C7547" w:rsidP="00905952">
      <w:pPr>
        <w:rPr>
          <w:rFonts w:asciiTheme="minorHAnsi" w:hAnsiTheme="minorHAnsi" w:cstheme="minorBidi"/>
          <w:b/>
          <w:color w:val="1F497D" w:themeColor="dark2"/>
          <w:sz w:val="28"/>
          <w:szCs w:val="28"/>
          <w:u w:val="single"/>
        </w:rPr>
      </w:pPr>
      <w:r w:rsidRPr="00BB7BCB">
        <w:rPr>
          <w:rFonts w:asciiTheme="minorHAnsi" w:hAnsiTheme="minorHAnsi" w:cstheme="minorBidi"/>
          <w:b/>
          <w:color w:val="1F497D" w:themeColor="dark2"/>
          <w:sz w:val="28"/>
          <w:szCs w:val="28"/>
          <w:u w:val="single"/>
        </w:rPr>
        <w:t>Transferring medication between wards</w:t>
      </w:r>
    </w:p>
    <w:p w14:paraId="1C4929E7" w14:textId="77777777" w:rsidR="004A1118" w:rsidRDefault="004A1118" w:rsidP="004A1118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In general terms </w:t>
      </w:r>
      <w:r w:rsidRPr="00737EE5">
        <w:rPr>
          <w:rFonts w:asciiTheme="minorHAnsi" w:hAnsiTheme="minorHAnsi" w:cstheme="minorBidi"/>
          <w:b/>
          <w:color w:val="1F497D" w:themeColor="dark2"/>
        </w:rPr>
        <w:t xml:space="preserve">medicines can be transferred </w:t>
      </w:r>
      <w:r w:rsidRPr="00737EE5">
        <w:rPr>
          <w:rFonts w:asciiTheme="minorHAnsi" w:hAnsiTheme="minorHAnsi" w:cstheme="minorBidi"/>
          <w:b/>
          <w:color w:val="1F497D" w:themeColor="dark2"/>
          <w:u w:val="single"/>
        </w:rPr>
        <w:t>from</w:t>
      </w:r>
      <w:r w:rsidRPr="00737EE5">
        <w:rPr>
          <w:rFonts w:asciiTheme="minorHAnsi" w:hAnsiTheme="minorHAnsi" w:cstheme="minorBidi"/>
          <w:b/>
          <w:color w:val="1F497D" w:themeColor="dark2"/>
        </w:rPr>
        <w:t xml:space="preserve"> a negative COVID-19 (cold/ clean) area</w:t>
      </w:r>
      <w:r>
        <w:rPr>
          <w:rFonts w:asciiTheme="minorHAnsi" w:hAnsiTheme="minorHAnsi" w:cstheme="minorBidi"/>
          <w:color w:val="1F497D" w:themeColor="dark2"/>
        </w:rPr>
        <w:t xml:space="preserve"> to </w:t>
      </w:r>
      <w:r w:rsidR="006D2956">
        <w:rPr>
          <w:rFonts w:asciiTheme="minorHAnsi" w:hAnsiTheme="minorHAnsi" w:cstheme="minorBidi"/>
          <w:color w:val="1F497D" w:themeColor="dark2"/>
        </w:rPr>
        <w:t xml:space="preserve">another </w:t>
      </w:r>
      <w:r w:rsidR="006D2956" w:rsidRPr="006D2956">
        <w:rPr>
          <w:rFonts w:asciiTheme="minorHAnsi" w:hAnsiTheme="minorHAnsi" w:cstheme="minorBidi"/>
          <w:color w:val="1F497D" w:themeColor="dark2"/>
        </w:rPr>
        <w:t xml:space="preserve">negative COVID-19 (cold/ clean) area </w:t>
      </w:r>
      <w:r w:rsidR="006D2956">
        <w:rPr>
          <w:rFonts w:asciiTheme="minorHAnsi" w:hAnsiTheme="minorHAnsi" w:cstheme="minorBidi"/>
          <w:color w:val="1F497D" w:themeColor="dark2"/>
        </w:rPr>
        <w:t xml:space="preserve">or a </w:t>
      </w:r>
      <w:r w:rsidRPr="00737EE5">
        <w:rPr>
          <w:rFonts w:asciiTheme="minorHAnsi" w:hAnsiTheme="minorHAnsi" w:cstheme="minorBidi"/>
          <w:color w:val="1F497D" w:themeColor="dark2"/>
        </w:rPr>
        <w:t xml:space="preserve">positive cohort </w:t>
      </w:r>
      <w:r>
        <w:rPr>
          <w:rFonts w:asciiTheme="minorHAnsi" w:hAnsiTheme="minorHAnsi" w:cstheme="minorBidi"/>
          <w:color w:val="1F497D" w:themeColor="dark2"/>
        </w:rPr>
        <w:t>(hot/ contaminated) area.</w:t>
      </w:r>
    </w:p>
    <w:p w14:paraId="1C4929E8" w14:textId="77777777" w:rsidR="004A1118" w:rsidRDefault="004A1118" w:rsidP="00905952">
      <w:pPr>
        <w:rPr>
          <w:rFonts w:asciiTheme="minorHAnsi" w:hAnsiTheme="minorHAnsi" w:cstheme="minorBidi"/>
          <w:b/>
          <w:color w:val="1F497D" w:themeColor="dark2"/>
        </w:rPr>
      </w:pPr>
    </w:p>
    <w:p w14:paraId="1C4929E9" w14:textId="77777777" w:rsidR="008C7547" w:rsidRDefault="00042FCD" w:rsidP="00905952">
      <w:pPr>
        <w:rPr>
          <w:rFonts w:asciiTheme="minorHAnsi" w:hAnsiTheme="minorHAnsi" w:cstheme="minorBidi"/>
          <w:color w:val="1F497D" w:themeColor="dark2"/>
        </w:rPr>
      </w:pPr>
      <w:r w:rsidRPr="00042FCD">
        <w:rPr>
          <w:rFonts w:asciiTheme="minorHAnsi" w:hAnsiTheme="minorHAnsi" w:cstheme="minorBidi"/>
          <w:b/>
          <w:color w:val="1F497D" w:themeColor="dark2"/>
        </w:rPr>
        <w:t xml:space="preserve">Patients moving between </w:t>
      </w:r>
      <w:r w:rsidR="004A1118">
        <w:rPr>
          <w:rFonts w:asciiTheme="minorHAnsi" w:hAnsiTheme="minorHAnsi" w:cstheme="minorBidi"/>
          <w:b/>
          <w:color w:val="1F497D" w:themeColor="dark2"/>
        </w:rPr>
        <w:t xml:space="preserve">LYPFT </w:t>
      </w:r>
      <w:r w:rsidRPr="00042FCD">
        <w:rPr>
          <w:rFonts w:asciiTheme="minorHAnsi" w:hAnsiTheme="minorHAnsi" w:cstheme="minorBidi"/>
          <w:b/>
          <w:color w:val="1F497D" w:themeColor="dark2"/>
        </w:rPr>
        <w:t>wards</w:t>
      </w:r>
      <w:r>
        <w:rPr>
          <w:rFonts w:asciiTheme="minorHAnsi" w:hAnsiTheme="minorHAnsi" w:cstheme="minorBidi"/>
          <w:color w:val="1F497D" w:themeColor="dark2"/>
        </w:rPr>
        <w:t xml:space="preserve"> – essentially if it’s considered safe/ appropriate for the patient to move </w:t>
      </w:r>
      <w:r w:rsidR="004A1118">
        <w:rPr>
          <w:rFonts w:asciiTheme="minorHAnsi" w:hAnsiTheme="minorHAnsi" w:cstheme="minorBidi"/>
          <w:color w:val="1F497D" w:themeColor="dark2"/>
        </w:rPr>
        <w:t xml:space="preserve">within LYPFT </w:t>
      </w:r>
      <w:r>
        <w:rPr>
          <w:rFonts w:asciiTheme="minorHAnsi" w:hAnsiTheme="minorHAnsi" w:cstheme="minorBidi"/>
          <w:color w:val="1F497D" w:themeColor="dark2"/>
        </w:rPr>
        <w:t>then it is fine to transfer their medication (including PODs which are legally their property) with them.</w:t>
      </w:r>
    </w:p>
    <w:p w14:paraId="1C4929EA" w14:textId="77777777" w:rsidR="008C7547" w:rsidRDefault="008C7547" w:rsidP="00905952">
      <w:pPr>
        <w:rPr>
          <w:rFonts w:asciiTheme="minorHAnsi" w:hAnsiTheme="minorHAnsi" w:cstheme="minorBidi"/>
          <w:color w:val="1F497D" w:themeColor="dark2"/>
        </w:rPr>
      </w:pPr>
    </w:p>
    <w:p w14:paraId="1C4929EB" w14:textId="77777777" w:rsidR="002C7C46" w:rsidRPr="004F4F74" w:rsidRDefault="00CD48DC" w:rsidP="00905952">
      <w:pPr>
        <w:rPr>
          <w:rFonts w:asciiTheme="minorHAnsi" w:hAnsiTheme="minorHAnsi" w:cstheme="minorBidi"/>
          <w:b/>
          <w:color w:val="1F497D" w:themeColor="dark2"/>
        </w:rPr>
      </w:pPr>
      <w:r w:rsidRPr="004F4F74">
        <w:rPr>
          <w:rFonts w:asciiTheme="minorHAnsi" w:hAnsiTheme="minorHAnsi" w:cstheme="minorBidi"/>
          <w:b/>
          <w:color w:val="1F497D" w:themeColor="dark2"/>
        </w:rPr>
        <w:t xml:space="preserve">For </w:t>
      </w:r>
      <w:r w:rsidR="004A1118" w:rsidRPr="004F4F74">
        <w:rPr>
          <w:rFonts w:asciiTheme="minorHAnsi" w:hAnsiTheme="minorHAnsi" w:cstheme="minorBidi"/>
          <w:b/>
          <w:color w:val="1F497D" w:themeColor="dark2"/>
        </w:rPr>
        <w:t xml:space="preserve">situations </w:t>
      </w:r>
      <w:r w:rsidRPr="004F4F74">
        <w:rPr>
          <w:rFonts w:asciiTheme="minorHAnsi" w:hAnsiTheme="minorHAnsi" w:cstheme="minorBidi"/>
          <w:b/>
          <w:color w:val="1F497D" w:themeColor="dark2"/>
        </w:rPr>
        <w:t>outside th</w:t>
      </w:r>
      <w:r w:rsidR="004A1118" w:rsidRPr="004F4F74">
        <w:rPr>
          <w:rFonts w:asciiTheme="minorHAnsi" w:hAnsiTheme="minorHAnsi" w:cstheme="minorBidi"/>
          <w:b/>
          <w:color w:val="1F497D" w:themeColor="dark2"/>
        </w:rPr>
        <w:t>e above</w:t>
      </w:r>
      <w:r w:rsidRPr="004F4F74">
        <w:rPr>
          <w:rFonts w:asciiTheme="minorHAnsi" w:hAnsiTheme="minorHAnsi" w:cstheme="minorBidi"/>
          <w:b/>
          <w:color w:val="1F497D" w:themeColor="dark2"/>
        </w:rPr>
        <w:t xml:space="preserve"> s</w:t>
      </w:r>
      <w:r w:rsidR="000307D9" w:rsidRPr="004F4F74">
        <w:rPr>
          <w:rFonts w:asciiTheme="minorHAnsi" w:hAnsiTheme="minorHAnsi" w:cstheme="minorBidi"/>
          <w:b/>
          <w:color w:val="1F497D" w:themeColor="dark2"/>
        </w:rPr>
        <w:t>eek IPC advice</w:t>
      </w:r>
      <w:r w:rsidRPr="004F4F74">
        <w:rPr>
          <w:rFonts w:asciiTheme="minorHAnsi" w:hAnsiTheme="minorHAnsi" w:cstheme="minorBidi"/>
          <w:b/>
          <w:color w:val="1F497D" w:themeColor="dark2"/>
        </w:rPr>
        <w:t xml:space="preserve"> (and if the medicines have already been sent to a LYPFT ward/ unit wipe down the outer packaging and quarantine in a locked cupboard on the ward/ unit until IPC advice obtained).</w:t>
      </w:r>
    </w:p>
    <w:p w14:paraId="1C4929EC" w14:textId="77777777" w:rsidR="000307D9" w:rsidRDefault="000307D9" w:rsidP="00905952">
      <w:pPr>
        <w:rPr>
          <w:rFonts w:asciiTheme="minorHAnsi" w:hAnsiTheme="minorHAnsi" w:cstheme="minorBidi"/>
          <w:color w:val="1F497D" w:themeColor="dark2"/>
        </w:rPr>
      </w:pPr>
    </w:p>
    <w:p w14:paraId="1C4929ED" w14:textId="77777777" w:rsidR="00BB7BCB" w:rsidRDefault="00BB7BCB" w:rsidP="00905952">
      <w:pPr>
        <w:rPr>
          <w:rFonts w:asciiTheme="minorHAnsi" w:hAnsiTheme="minorHAnsi" w:cstheme="minorBidi"/>
          <w:color w:val="1F497D" w:themeColor="dark2"/>
        </w:rPr>
      </w:pPr>
    </w:p>
    <w:p w14:paraId="1C4929EE" w14:textId="77777777" w:rsidR="002C7C46" w:rsidRPr="00BB7BCB" w:rsidRDefault="000307D9" w:rsidP="00905952">
      <w:pPr>
        <w:rPr>
          <w:rFonts w:asciiTheme="minorHAnsi" w:hAnsiTheme="minorHAnsi" w:cstheme="minorBidi"/>
          <w:b/>
          <w:color w:val="1F497D" w:themeColor="dark2"/>
          <w:sz w:val="28"/>
          <w:szCs w:val="28"/>
          <w:u w:val="single"/>
        </w:rPr>
      </w:pPr>
      <w:r w:rsidRPr="00BB7BCB">
        <w:rPr>
          <w:rFonts w:asciiTheme="minorHAnsi" w:hAnsiTheme="minorHAnsi" w:cstheme="minorBidi"/>
          <w:b/>
          <w:color w:val="1F497D" w:themeColor="dark2"/>
          <w:sz w:val="28"/>
          <w:szCs w:val="28"/>
          <w:u w:val="single"/>
        </w:rPr>
        <w:t>Patients Own Drugs (</w:t>
      </w:r>
      <w:r w:rsidR="002C7C46" w:rsidRPr="00BB7BCB">
        <w:rPr>
          <w:rFonts w:asciiTheme="minorHAnsi" w:hAnsiTheme="minorHAnsi" w:cstheme="minorBidi"/>
          <w:b/>
          <w:color w:val="1F497D" w:themeColor="dark2"/>
          <w:sz w:val="28"/>
          <w:szCs w:val="28"/>
          <w:u w:val="single"/>
        </w:rPr>
        <w:t>PODs</w:t>
      </w:r>
      <w:r w:rsidRPr="00BB7BCB">
        <w:rPr>
          <w:rFonts w:asciiTheme="minorHAnsi" w:hAnsiTheme="minorHAnsi" w:cstheme="minorBidi"/>
          <w:b/>
          <w:color w:val="1F497D" w:themeColor="dark2"/>
          <w:sz w:val="28"/>
          <w:szCs w:val="28"/>
          <w:u w:val="single"/>
        </w:rPr>
        <w:t>)</w:t>
      </w:r>
    </w:p>
    <w:p w14:paraId="1C4929EF" w14:textId="77777777" w:rsidR="0099190E" w:rsidRDefault="0099190E" w:rsidP="00CD48DC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color w:val="1F497D" w:themeColor="dark2"/>
        </w:rPr>
        <w:t>Q</w:t>
      </w:r>
      <w:r w:rsidR="000307D9" w:rsidRPr="00CD48DC">
        <w:rPr>
          <w:rFonts w:asciiTheme="minorHAnsi" w:hAnsiTheme="minorHAnsi" w:cstheme="minorBidi"/>
          <w:b/>
          <w:color w:val="1F497D" w:themeColor="dark2"/>
        </w:rPr>
        <w:t xml:space="preserve">uarantine </w:t>
      </w:r>
      <w:r w:rsidR="00CD48DC" w:rsidRPr="00CD48DC">
        <w:rPr>
          <w:rFonts w:asciiTheme="minorHAnsi" w:hAnsiTheme="minorHAnsi" w:cstheme="minorBidi"/>
          <w:b/>
          <w:color w:val="1F497D" w:themeColor="dark2"/>
        </w:rPr>
        <w:t>the PODs</w:t>
      </w:r>
      <w:r w:rsidR="00CD48DC">
        <w:rPr>
          <w:rFonts w:asciiTheme="minorHAnsi" w:hAnsiTheme="minorHAnsi" w:cstheme="minorBidi"/>
          <w:color w:val="1F497D" w:themeColor="dark2"/>
        </w:rPr>
        <w:t xml:space="preserve"> in a sealed bag </w:t>
      </w:r>
      <w:r>
        <w:rPr>
          <w:rFonts w:asciiTheme="minorHAnsi" w:hAnsiTheme="minorHAnsi" w:cstheme="minorBidi"/>
          <w:color w:val="1F497D" w:themeColor="dark2"/>
        </w:rPr>
        <w:t>labelled with the date and time received.</w:t>
      </w:r>
    </w:p>
    <w:p w14:paraId="1C4929F0" w14:textId="77777777" w:rsidR="00905952" w:rsidRDefault="0099190E" w:rsidP="00CD48DC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S</w:t>
      </w:r>
      <w:r w:rsidR="00CD48DC">
        <w:rPr>
          <w:rFonts w:asciiTheme="minorHAnsi" w:hAnsiTheme="minorHAnsi" w:cstheme="minorBidi"/>
          <w:color w:val="1F497D" w:themeColor="dark2"/>
        </w:rPr>
        <w:t xml:space="preserve">tore in a locked cupboard </w:t>
      </w:r>
      <w:r w:rsidR="000307D9" w:rsidRPr="00CD48DC">
        <w:rPr>
          <w:rFonts w:asciiTheme="minorHAnsi" w:hAnsiTheme="minorHAnsi" w:cstheme="minorBidi"/>
          <w:color w:val="1F497D" w:themeColor="dark2"/>
        </w:rPr>
        <w:t xml:space="preserve">on the ward </w:t>
      </w:r>
      <w:r w:rsidR="000307D9" w:rsidRPr="00CD48DC">
        <w:rPr>
          <w:rFonts w:asciiTheme="minorHAnsi" w:hAnsiTheme="minorHAnsi" w:cstheme="minorBidi"/>
          <w:b/>
          <w:color w:val="1F497D" w:themeColor="dark2"/>
        </w:rPr>
        <w:t xml:space="preserve">for </w:t>
      </w:r>
      <w:r>
        <w:rPr>
          <w:rFonts w:asciiTheme="minorHAnsi" w:hAnsiTheme="minorHAnsi" w:cstheme="minorBidi"/>
          <w:b/>
          <w:color w:val="1F497D" w:themeColor="dark2"/>
        </w:rPr>
        <w:t>72 hours.</w:t>
      </w:r>
      <w:r w:rsidR="00CD48DC">
        <w:rPr>
          <w:rFonts w:asciiTheme="minorHAnsi" w:hAnsiTheme="minorHAnsi" w:cstheme="minorBidi"/>
          <w:color w:val="1F497D" w:themeColor="dark2"/>
        </w:rPr>
        <w:t xml:space="preserve"> NB any CDs must be quarantined within the CD cupboard.</w:t>
      </w:r>
    </w:p>
    <w:p w14:paraId="1C4929F1" w14:textId="77777777" w:rsidR="00CD48DC" w:rsidRPr="00CD48DC" w:rsidRDefault="00CD48DC" w:rsidP="00CD48DC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After the </w:t>
      </w:r>
      <w:r w:rsidR="0099190E">
        <w:rPr>
          <w:rFonts w:asciiTheme="minorHAnsi" w:hAnsiTheme="minorHAnsi" w:cstheme="minorBidi"/>
          <w:color w:val="1F497D" w:themeColor="dark2"/>
        </w:rPr>
        <w:t>72 hours</w:t>
      </w:r>
      <w:r>
        <w:rPr>
          <w:rFonts w:asciiTheme="minorHAnsi" w:hAnsiTheme="minorHAnsi" w:cstheme="minorBidi"/>
          <w:color w:val="1F497D" w:themeColor="dark2"/>
        </w:rPr>
        <w:t xml:space="preserve"> quarantine period the PODs may be handled as per normal procedure.</w:t>
      </w:r>
    </w:p>
    <w:p w14:paraId="1C4929F2" w14:textId="77777777" w:rsidR="000307D9" w:rsidRDefault="000307D9" w:rsidP="00CD48DC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color w:val="1F497D" w:themeColor="dark2"/>
        </w:rPr>
      </w:pPr>
      <w:r w:rsidRPr="00CD48DC">
        <w:rPr>
          <w:rFonts w:asciiTheme="minorHAnsi" w:hAnsiTheme="minorHAnsi" w:cstheme="minorBidi"/>
          <w:color w:val="1F497D" w:themeColor="dark2"/>
        </w:rPr>
        <w:t xml:space="preserve">If it is necessary to </w:t>
      </w:r>
      <w:r w:rsidR="0099190E">
        <w:rPr>
          <w:rFonts w:asciiTheme="minorHAnsi" w:hAnsiTheme="minorHAnsi" w:cstheme="minorBidi"/>
          <w:color w:val="1F497D" w:themeColor="dark2"/>
        </w:rPr>
        <w:t>handle</w:t>
      </w:r>
      <w:r w:rsidRPr="00CD48DC">
        <w:rPr>
          <w:rFonts w:asciiTheme="minorHAnsi" w:hAnsiTheme="minorHAnsi" w:cstheme="minorBidi"/>
          <w:color w:val="1F497D" w:themeColor="dark2"/>
        </w:rPr>
        <w:t xml:space="preserve"> the PODs </w:t>
      </w:r>
      <w:r w:rsidR="0099190E">
        <w:rPr>
          <w:rFonts w:asciiTheme="minorHAnsi" w:hAnsiTheme="minorHAnsi" w:cstheme="minorBidi"/>
          <w:color w:val="1F497D" w:themeColor="dark2"/>
        </w:rPr>
        <w:t xml:space="preserve">ie </w:t>
      </w:r>
      <w:r w:rsidRPr="00CD48DC">
        <w:rPr>
          <w:rFonts w:asciiTheme="minorHAnsi" w:hAnsiTheme="minorHAnsi" w:cstheme="minorBidi"/>
          <w:b/>
          <w:color w:val="1F497D" w:themeColor="dark2"/>
        </w:rPr>
        <w:t xml:space="preserve">to </w:t>
      </w:r>
      <w:r w:rsidR="00FC7168">
        <w:rPr>
          <w:rFonts w:asciiTheme="minorHAnsi" w:hAnsiTheme="minorHAnsi" w:cstheme="minorBidi"/>
          <w:b/>
          <w:color w:val="1F497D" w:themeColor="dark2"/>
        </w:rPr>
        <w:t>administer</w:t>
      </w:r>
      <w:r w:rsidR="0099190E">
        <w:rPr>
          <w:rFonts w:asciiTheme="minorHAnsi" w:hAnsiTheme="minorHAnsi" w:cstheme="minorBidi"/>
          <w:b/>
          <w:color w:val="1F497D" w:themeColor="dark2"/>
        </w:rPr>
        <w:t xml:space="preserve"> in order to avoid missed doses or </w:t>
      </w:r>
      <w:r w:rsidR="00FC7168">
        <w:rPr>
          <w:rFonts w:asciiTheme="minorHAnsi" w:hAnsiTheme="minorHAnsi" w:cstheme="minorBidi"/>
          <w:b/>
          <w:color w:val="1F497D" w:themeColor="dark2"/>
        </w:rPr>
        <w:t>for medicine reconciliation on admission</w:t>
      </w:r>
      <w:r w:rsidR="004F4F74">
        <w:rPr>
          <w:rFonts w:asciiTheme="minorHAnsi" w:hAnsiTheme="minorHAnsi" w:cstheme="minorBidi"/>
          <w:b/>
          <w:color w:val="1F497D" w:themeColor="dark2"/>
        </w:rPr>
        <w:t>*</w:t>
      </w:r>
      <w:r w:rsidR="0099190E">
        <w:rPr>
          <w:rFonts w:asciiTheme="minorHAnsi" w:hAnsiTheme="minorHAnsi" w:cstheme="minorBidi"/>
          <w:color w:val="1F497D" w:themeColor="dark2"/>
        </w:rPr>
        <w:t>,</w:t>
      </w:r>
      <w:r w:rsidR="00CD48DC" w:rsidRPr="00CD48DC">
        <w:rPr>
          <w:rFonts w:asciiTheme="minorHAnsi" w:hAnsiTheme="minorHAnsi" w:cstheme="minorBidi"/>
          <w:color w:val="1F497D" w:themeColor="dark2"/>
        </w:rPr>
        <w:t xml:space="preserve"> suggest </w:t>
      </w:r>
      <w:r w:rsidR="00CD48DC">
        <w:rPr>
          <w:rFonts w:asciiTheme="minorHAnsi" w:hAnsiTheme="minorHAnsi" w:cstheme="minorBidi"/>
          <w:color w:val="1F497D" w:themeColor="dark2"/>
        </w:rPr>
        <w:t>the PODs are handled</w:t>
      </w:r>
      <w:r w:rsidR="00CD48DC" w:rsidRPr="00CD48DC">
        <w:rPr>
          <w:rFonts w:asciiTheme="minorHAnsi" w:hAnsiTheme="minorHAnsi" w:cstheme="minorBidi"/>
          <w:color w:val="1F497D" w:themeColor="dark2"/>
        </w:rPr>
        <w:t xml:space="preserve"> within the ward clinic room wearing gloves and/ or washing hands thoroughly afterwards.</w:t>
      </w:r>
      <w:r w:rsidR="00CD48DC">
        <w:rPr>
          <w:rFonts w:asciiTheme="minorHAnsi" w:hAnsiTheme="minorHAnsi" w:cstheme="minorBidi"/>
          <w:color w:val="1F497D" w:themeColor="dark2"/>
        </w:rPr>
        <w:t xml:space="preserve"> Wipe down the surface where the PODs were handled</w:t>
      </w:r>
      <w:r w:rsidR="006D2956">
        <w:rPr>
          <w:rFonts w:asciiTheme="minorHAnsi" w:hAnsiTheme="minorHAnsi" w:cstheme="minorBidi"/>
          <w:color w:val="1F497D" w:themeColor="dark2"/>
        </w:rPr>
        <w:t xml:space="preserve"> and return the PODs to quarantine</w:t>
      </w:r>
      <w:r w:rsidR="00CD48DC">
        <w:rPr>
          <w:rFonts w:asciiTheme="minorHAnsi" w:hAnsiTheme="minorHAnsi" w:cstheme="minorBidi"/>
          <w:color w:val="1F497D" w:themeColor="dark2"/>
        </w:rPr>
        <w:t>.</w:t>
      </w:r>
    </w:p>
    <w:p w14:paraId="1C4929F3" w14:textId="77777777" w:rsidR="00737EE5" w:rsidRPr="00CD48DC" w:rsidRDefault="00737EE5" w:rsidP="00CD48DC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Where appropriate, patients can take their PODS home as per standard procedure. </w:t>
      </w:r>
    </w:p>
    <w:p w14:paraId="1C4929F4" w14:textId="77777777" w:rsidR="00905952" w:rsidRDefault="00905952" w:rsidP="00905952">
      <w:pPr>
        <w:rPr>
          <w:rFonts w:asciiTheme="minorHAnsi" w:hAnsiTheme="minorHAnsi" w:cstheme="minorBidi"/>
          <w:color w:val="1F497D" w:themeColor="dark2"/>
        </w:rPr>
      </w:pPr>
    </w:p>
    <w:p w14:paraId="1C4929F5" w14:textId="77777777" w:rsidR="00737EE5" w:rsidRPr="004F4F74" w:rsidRDefault="004F4F74" w:rsidP="00737EE5">
      <w:pPr>
        <w:rPr>
          <w:i/>
          <w:color w:val="1F497D"/>
          <w:sz w:val="18"/>
          <w:szCs w:val="18"/>
        </w:rPr>
      </w:pPr>
      <w:r>
        <w:rPr>
          <w:color w:val="1F497D"/>
        </w:rPr>
        <w:t xml:space="preserve">* </w:t>
      </w:r>
      <w:r w:rsidRPr="004F4F74">
        <w:rPr>
          <w:i/>
          <w:color w:val="1F497D"/>
          <w:sz w:val="18"/>
          <w:szCs w:val="18"/>
        </w:rPr>
        <w:t>D</w:t>
      </w:r>
      <w:r w:rsidR="006D2956" w:rsidRPr="004F4F74">
        <w:rPr>
          <w:i/>
          <w:color w:val="1F497D"/>
          <w:sz w:val="18"/>
          <w:szCs w:val="18"/>
        </w:rPr>
        <w:t xml:space="preserve">ue to COVID </w:t>
      </w:r>
      <w:r w:rsidRPr="004F4F74">
        <w:rPr>
          <w:i/>
          <w:color w:val="1F497D"/>
          <w:sz w:val="18"/>
          <w:szCs w:val="18"/>
        </w:rPr>
        <w:t>p</w:t>
      </w:r>
      <w:r w:rsidR="00737EE5" w:rsidRPr="004F4F74">
        <w:rPr>
          <w:i/>
          <w:color w:val="1F497D"/>
          <w:sz w:val="18"/>
          <w:szCs w:val="18"/>
        </w:rPr>
        <w:t>harmacy st</w:t>
      </w:r>
      <w:r w:rsidR="006D2956" w:rsidRPr="004F4F74">
        <w:rPr>
          <w:i/>
          <w:color w:val="1F497D"/>
          <w:sz w:val="18"/>
          <w:szCs w:val="18"/>
        </w:rPr>
        <w:t>aff</w:t>
      </w:r>
      <w:r w:rsidR="00737EE5" w:rsidRPr="004F4F74">
        <w:rPr>
          <w:i/>
          <w:color w:val="1F497D"/>
          <w:sz w:val="18"/>
          <w:szCs w:val="18"/>
        </w:rPr>
        <w:t xml:space="preserve"> </w:t>
      </w:r>
      <w:r w:rsidR="006D2956" w:rsidRPr="004F4F74">
        <w:rPr>
          <w:i/>
          <w:color w:val="1F497D"/>
          <w:sz w:val="18"/>
          <w:szCs w:val="18"/>
        </w:rPr>
        <w:t>are</w:t>
      </w:r>
      <w:r w:rsidR="00737EE5" w:rsidRPr="004F4F74">
        <w:rPr>
          <w:i/>
          <w:color w:val="1F497D"/>
          <w:sz w:val="18"/>
          <w:szCs w:val="18"/>
        </w:rPr>
        <w:t xml:space="preserve"> </w:t>
      </w:r>
      <w:r w:rsidR="006D2956" w:rsidRPr="004F4F74">
        <w:rPr>
          <w:i/>
          <w:color w:val="1F497D"/>
          <w:sz w:val="18"/>
          <w:szCs w:val="18"/>
        </w:rPr>
        <w:t xml:space="preserve">currently only </w:t>
      </w:r>
      <w:r w:rsidR="00737EE5" w:rsidRPr="004F4F74">
        <w:rPr>
          <w:i/>
          <w:color w:val="1F497D"/>
          <w:sz w:val="18"/>
          <w:szCs w:val="18"/>
        </w:rPr>
        <w:t>entering wards/ units to provide medication top-ups</w:t>
      </w:r>
      <w:r w:rsidRPr="004F4F74">
        <w:rPr>
          <w:i/>
          <w:color w:val="1F497D"/>
          <w:sz w:val="18"/>
          <w:szCs w:val="18"/>
        </w:rPr>
        <w:t xml:space="preserve"> and</w:t>
      </w:r>
      <w:r w:rsidR="00737EE5" w:rsidRPr="004F4F74">
        <w:rPr>
          <w:i/>
          <w:color w:val="1F497D"/>
          <w:sz w:val="18"/>
          <w:szCs w:val="18"/>
        </w:rPr>
        <w:t xml:space="preserve"> are advised to observe the </w:t>
      </w:r>
      <w:r w:rsidRPr="004F4F74">
        <w:rPr>
          <w:i/>
          <w:color w:val="1F497D"/>
          <w:sz w:val="18"/>
          <w:szCs w:val="18"/>
        </w:rPr>
        <w:t>72 hour</w:t>
      </w:r>
      <w:r w:rsidR="00737EE5" w:rsidRPr="004F4F74">
        <w:rPr>
          <w:i/>
          <w:color w:val="1F497D"/>
          <w:sz w:val="18"/>
          <w:szCs w:val="18"/>
        </w:rPr>
        <w:t xml:space="preserve"> quarant</w:t>
      </w:r>
      <w:r w:rsidRPr="004F4F74">
        <w:rPr>
          <w:i/>
          <w:color w:val="1F497D"/>
          <w:sz w:val="18"/>
          <w:szCs w:val="18"/>
        </w:rPr>
        <w:t xml:space="preserve">ine period before handling PODs. This means that during COVID medicines will be reconciled on admission using sources other than the </w:t>
      </w:r>
      <w:r w:rsidR="006D2956" w:rsidRPr="004F4F74">
        <w:rPr>
          <w:i/>
          <w:color w:val="1F497D"/>
          <w:sz w:val="18"/>
          <w:szCs w:val="18"/>
        </w:rPr>
        <w:t>PODs.</w:t>
      </w:r>
    </w:p>
    <w:p w14:paraId="1C4929F6" w14:textId="77777777" w:rsidR="00287A6D" w:rsidRPr="004F4F74" w:rsidRDefault="00686677" w:rsidP="00737EE5">
      <w:pPr>
        <w:rPr>
          <w:i/>
          <w:color w:val="1F497D"/>
          <w:sz w:val="18"/>
          <w:szCs w:val="18"/>
        </w:rPr>
      </w:pPr>
      <w:r w:rsidRPr="004F4F74">
        <w:rPr>
          <w:i/>
          <w:color w:val="1F497D"/>
          <w:sz w:val="18"/>
          <w:szCs w:val="18"/>
        </w:rPr>
        <w:t>It is therefore accepted that i</w:t>
      </w:r>
      <w:r w:rsidR="00737EE5" w:rsidRPr="004F4F74">
        <w:rPr>
          <w:i/>
          <w:color w:val="1F497D"/>
          <w:sz w:val="18"/>
          <w:szCs w:val="18"/>
        </w:rPr>
        <w:t xml:space="preserve">f the PODs </w:t>
      </w:r>
      <w:r w:rsidRPr="004F4F74">
        <w:rPr>
          <w:i/>
          <w:color w:val="1F497D"/>
          <w:sz w:val="18"/>
          <w:szCs w:val="18"/>
        </w:rPr>
        <w:t>are</w:t>
      </w:r>
      <w:r w:rsidR="00737EE5" w:rsidRPr="004F4F74">
        <w:rPr>
          <w:i/>
          <w:color w:val="1F497D"/>
          <w:sz w:val="18"/>
          <w:szCs w:val="18"/>
        </w:rPr>
        <w:t xml:space="preserve"> the only</w:t>
      </w:r>
      <w:r w:rsidRPr="004F4F74">
        <w:rPr>
          <w:i/>
          <w:color w:val="1F497D"/>
          <w:sz w:val="18"/>
          <w:szCs w:val="18"/>
        </w:rPr>
        <w:t xml:space="preserve"> available</w:t>
      </w:r>
      <w:r w:rsidR="00737EE5" w:rsidRPr="004F4F74">
        <w:rPr>
          <w:i/>
          <w:color w:val="1F497D"/>
          <w:sz w:val="18"/>
          <w:szCs w:val="18"/>
        </w:rPr>
        <w:t xml:space="preserve"> </w:t>
      </w:r>
      <w:r w:rsidRPr="004F4F74">
        <w:rPr>
          <w:i/>
          <w:color w:val="1F497D"/>
          <w:sz w:val="18"/>
          <w:szCs w:val="18"/>
        </w:rPr>
        <w:t>‘2</w:t>
      </w:r>
      <w:r w:rsidRPr="004F4F74">
        <w:rPr>
          <w:i/>
          <w:color w:val="1F497D"/>
          <w:sz w:val="18"/>
          <w:szCs w:val="18"/>
          <w:vertAlign w:val="superscript"/>
        </w:rPr>
        <w:t>nd</w:t>
      </w:r>
      <w:r w:rsidRPr="004F4F74">
        <w:rPr>
          <w:i/>
          <w:color w:val="1F497D"/>
          <w:sz w:val="18"/>
          <w:szCs w:val="18"/>
        </w:rPr>
        <w:t xml:space="preserve"> information source’ (standard meds-rec practice) pharmacy staff should document that</w:t>
      </w:r>
      <w:r w:rsidR="00287A6D" w:rsidRPr="004F4F74">
        <w:rPr>
          <w:i/>
          <w:color w:val="1F497D"/>
          <w:sz w:val="18"/>
          <w:szCs w:val="18"/>
        </w:rPr>
        <w:t xml:space="preserve"> only 1 source</w:t>
      </w:r>
      <w:r w:rsidRPr="004F4F74">
        <w:rPr>
          <w:i/>
          <w:color w:val="1F497D"/>
          <w:sz w:val="18"/>
          <w:szCs w:val="18"/>
        </w:rPr>
        <w:t xml:space="preserve"> has been</w:t>
      </w:r>
      <w:r w:rsidR="00287A6D" w:rsidRPr="004F4F74">
        <w:rPr>
          <w:i/>
          <w:color w:val="1F497D"/>
          <w:sz w:val="18"/>
          <w:szCs w:val="18"/>
        </w:rPr>
        <w:t xml:space="preserve"> used with a note referencing ‘</w:t>
      </w:r>
      <w:r w:rsidR="00287A6D" w:rsidRPr="004F4F74">
        <w:rPr>
          <w:i/>
          <w:iCs/>
          <w:color w:val="1F497D"/>
          <w:sz w:val="18"/>
          <w:szCs w:val="18"/>
        </w:rPr>
        <w:t>due to COVID BCP</w:t>
      </w:r>
      <w:r w:rsidR="00287A6D" w:rsidRPr="004F4F74">
        <w:rPr>
          <w:i/>
          <w:color w:val="1F497D"/>
          <w:sz w:val="18"/>
          <w:szCs w:val="18"/>
        </w:rPr>
        <w:t xml:space="preserve">’ (Business Continuity Plan) </w:t>
      </w:r>
    </w:p>
    <w:p w14:paraId="1C4929F7" w14:textId="77777777" w:rsidR="00287A6D" w:rsidRPr="0035556A" w:rsidRDefault="0035556A" w:rsidP="0035556A">
      <w:pPr>
        <w:rPr>
          <w:i/>
          <w:color w:val="1F497D"/>
          <w:sz w:val="18"/>
          <w:szCs w:val="18"/>
        </w:rPr>
      </w:pPr>
      <w:r>
        <w:rPr>
          <w:i/>
          <w:color w:val="1F497D"/>
          <w:sz w:val="18"/>
          <w:szCs w:val="18"/>
        </w:rPr>
        <w:t>I</w:t>
      </w:r>
      <w:r w:rsidR="00287A6D" w:rsidRPr="0035556A">
        <w:rPr>
          <w:i/>
          <w:color w:val="1F497D"/>
          <w:sz w:val="18"/>
          <w:szCs w:val="18"/>
        </w:rPr>
        <w:t xml:space="preserve">f in a pharmacy staff member’s professional opinion there is a need to check the PODs on admission </w:t>
      </w:r>
      <w:r w:rsidR="00686677" w:rsidRPr="0035556A">
        <w:rPr>
          <w:i/>
          <w:color w:val="1F497D"/>
          <w:sz w:val="18"/>
          <w:szCs w:val="18"/>
        </w:rPr>
        <w:t>then</w:t>
      </w:r>
      <w:r w:rsidR="00287A6D" w:rsidRPr="0035556A">
        <w:rPr>
          <w:i/>
          <w:color w:val="1F497D"/>
          <w:sz w:val="18"/>
          <w:szCs w:val="18"/>
        </w:rPr>
        <w:t>:</w:t>
      </w:r>
    </w:p>
    <w:p w14:paraId="1C4929F8" w14:textId="77777777" w:rsidR="00287A6D" w:rsidRPr="004F4F74" w:rsidRDefault="00686677" w:rsidP="00287A6D">
      <w:pPr>
        <w:pStyle w:val="ListParagraph"/>
        <w:numPr>
          <w:ilvl w:val="1"/>
          <w:numId w:val="1"/>
        </w:numPr>
        <w:rPr>
          <w:i/>
          <w:color w:val="1F497D"/>
          <w:sz w:val="18"/>
          <w:szCs w:val="18"/>
        </w:rPr>
      </w:pPr>
      <w:r w:rsidRPr="004F4F74">
        <w:rPr>
          <w:i/>
          <w:color w:val="1F497D"/>
          <w:sz w:val="18"/>
          <w:szCs w:val="18"/>
        </w:rPr>
        <w:t>This should be</w:t>
      </w:r>
      <w:r w:rsidR="00287A6D" w:rsidRPr="004F4F74">
        <w:rPr>
          <w:i/>
          <w:color w:val="1F497D"/>
          <w:sz w:val="18"/>
          <w:szCs w:val="18"/>
        </w:rPr>
        <w:t xml:space="preserve"> done on the ward (to minimise risk of infection spread </w:t>
      </w:r>
      <w:r w:rsidRPr="004F4F74">
        <w:rPr>
          <w:i/>
          <w:color w:val="1F497D"/>
          <w:sz w:val="18"/>
          <w:szCs w:val="18"/>
        </w:rPr>
        <w:t>do</w:t>
      </w:r>
      <w:r w:rsidR="00287A6D" w:rsidRPr="004F4F74">
        <w:rPr>
          <w:i/>
          <w:color w:val="1F497D"/>
          <w:sz w:val="18"/>
          <w:szCs w:val="18"/>
        </w:rPr>
        <w:t xml:space="preserve"> not bring patients property into the pharmacy) </w:t>
      </w:r>
    </w:p>
    <w:p w14:paraId="1C4929F9" w14:textId="77777777" w:rsidR="00287A6D" w:rsidRPr="004F4F74" w:rsidRDefault="00287A6D" w:rsidP="00287A6D">
      <w:pPr>
        <w:pStyle w:val="ListParagraph"/>
        <w:numPr>
          <w:ilvl w:val="1"/>
          <w:numId w:val="1"/>
        </w:numPr>
        <w:rPr>
          <w:i/>
          <w:color w:val="1F497D"/>
          <w:sz w:val="18"/>
          <w:szCs w:val="18"/>
        </w:rPr>
      </w:pPr>
      <w:r w:rsidRPr="004F4F74">
        <w:rPr>
          <w:i/>
          <w:color w:val="1F497D"/>
          <w:sz w:val="18"/>
          <w:szCs w:val="18"/>
        </w:rPr>
        <w:t xml:space="preserve">Staff follow </w:t>
      </w:r>
      <w:r w:rsidR="00686677" w:rsidRPr="004F4F74">
        <w:rPr>
          <w:i/>
          <w:color w:val="1F497D"/>
          <w:sz w:val="18"/>
          <w:szCs w:val="18"/>
        </w:rPr>
        <w:t>the above advice regarding handling PODs</w:t>
      </w:r>
      <w:r w:rsidRPr="004F4F74">
        <w:rPr>
          <w:i/>
          <w:color w:val="1F497D"/>
          <w:sz w:val="18"/>
          <w:szCs w:val="18"/>
        </w:rPr>
        <w:t xml:space="preserve"> </w:t>
      </w:r>
    </w:p>
    <w:p w14:paraId="1C4929FA" w14:textId="77777777" w:rsidR="00737EE5" w:rsidRDefault="00737EE5"/>
    <w:sectPr w:rsidR="00737EE5" w:rsidSect="0074513C">
      <w:headerReference w:type="default" r:id="rId12"/>
      <w:footerReference w:type="default" r:id="rId13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929FD" w14:textId="77777777" w:rsidR="00193A2A" w:rsidRDefault="00193A2A" w:rsidP="0074513C">
      <w:r>
        <w:separator/>
      </w:r>
    </w:p>
  </w:endnote>
  <w:endnote w:type="continuationSeparator" w:id="0">
    <w:p w14:paraId="1C4929FE" w14:textId="77777777" w:rsidR="00193A2A" w:rsidRDefault="00193A2A" w:rsidP="0074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92A00" w14:textId="77777777" w:rsidR="0074513C" w:rsidRPr="0074513C" w:rsidRDefault="0074513C">
    <w:pPr>
      <w:pStyle w:val="Footer"/>
      <w:rPr>
        <w:i/>
        <w:sz w:val="16"/>
        <w:szCs w:val="16"/>
      </w:rPr>
    </w:pPr>
    <w:r>
      <w:tab/>
    </w:r>
    <w:r w:rsidRPr="0074513C">
      <w:rPr>
        <w:i/>
        <w:sz w:val="16"/>
        <w:szCs w:val="16"/>
      </w:rPr>
      <w:t>Written by Jane Riley, Chief Pharmacist</w:t>
    </w:r>
    <w:r w:rsidR="000913BF">
      <w:rPr>
        <w:i/>
        <w:sz w:val="16"/>
        <w:szCs w:val="16"/>
      </w:rPr>
      <w:t xml:space="preserve"> in accordance with IPC advice (May20)</w:t>
    </w:r>
    <w:r w:rsidRPr="0074513C"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29FB" w14:textId="77777777" w:rsidR="00193A2A" w:rsidRDefault="00193A2A" w:rsidP="0074513C">
      <w:r>
        <w:separator/>
      </w:r>
    </w:p>
  </w:footnote>
  <w:footnote w:type="continuationSeparator" w:id="0">
    <w:p w14:paraId="1C4929FC" w14:textId="77777777" w:rsidR="00193A2A" w:rsidRDefault="00193A2A" w:rsidP="0074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929FF" w14:textId="77777777" w:rsidR="0074513C" w:rsidRDefault="007451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492A01" wp14:editId="1C492A02">
          <wp:simplePos x="0" y="0"/>
          <wp:positionH relativeFrom="column">
            <wp:posOffset>5143500</wp:posOffset>
          </wp:positionH>
          <wp:positionV relativeFrom="paragraph">
            <wp:posOffset>-297180</wp:posOffset>
          </wp:positionV>
          <wp:extent cx="1828800" cy="821783"/>
          <wp:effectExtent l="0" t="0" r="0" b="0"/>
          <wp:wrapNone/>
          <wp:docPr id="1" name="Picture 1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868" cy="82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A10"/>
    <w:multiLevelType w:val="hybridMultilevel"/>
    <w:tmpl w:val="BAE21C4C"/>
    <w:lvl w:ilvl="0" w:tplc="F44C8DD8">
      <w:start w:val="1"/>
      <w:numFmt w:val="decimal"/>
      <w:lvlText w:val="%1."/>
      <w:lvlJc w:val="left"/>
      <w:pPr>
        <w:ind w:left="47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3CD076A6">
      <w:numFmt w:val="bullet"/>
      <w:lvlText w:val="•"/>
      <w:lvlJc w:val="left"/>
      <w:pPr>
        <w:ind w:left="1404" w:hanging="361"/>
      </w:pPr>
      <w:rPr>
        <w:rFonts w:hint="default"/>
        <w:lang w:val="en-GB" w:eastAsia="en-GB" w:bidi="en-GB"/>
      </w:rPr>
    </w:lvl>
    <w:lvl w:ilvl="2" w:tplc="42F05EC0">
      <w:numFmt w:val="bullet"/>
      <w:lvlText w:val="•"/>
      <w:lvlJc w:val="left"/>
      <w:pPr>
        <w:ind w:left="2329" w:hanging="361"/>
      </w:pPr>
      <w:rPr>
        <w:rFonts w:hint="default"/>
        <w:lang w:val="en-GB" w:eastAsia="en-GB" w:bidi="en-GB"/>
      </w:rPr>
    </w:lvl>
    <w:lvl w:ilvl="3" w:tplc="67AE06E0">
      <w:numFmt w:val="bullet"/>
      <w:lvlText w:val="•"/>
      <w:lvlJc w:val="left"/>
      <w:pPr>
        <w:ind w:left="3253" w:hanging="361"/>
      </w:pPr>
      <w:rPr>
        <w:rFonts w:hint="default"/>
        <w:lang w:val="en-GB" w:eastAsia="en-GB" w:bidi="en-GB"/>
      </w:rPr>
    </w:lvl>
    <w:lvl w:ilvl="4" w:tplc="3392C638">
      <w:numFmt w:val="bullet"/>
      <w:lvlText w:val="•"/>
      <w:lvlJc w:val="left"/>
      <w:pPr>
        <w:ind w:left="4178" w:hanging="361"/>
      </w:pPr>
      <w:rPr>
        <w:rFonts w:hint="default"/>
        <w:lang w:val="en-GB" w:eastAsia="en-GB" w:bidi="en-GB"/>
      </w:rPr>
    </w:lvl>
    <w:lvl w:ilvl="5" w:tplc="E85E0554">
      <w:numFmt w:val="bullet"/>
      <w:lvlText w:val="•"/>
      <w:lvlJc w:val="left"/>
      <w:pPr>
        <w:ind w:left="5103" w:hanging="361"/>
      </w:pPr>
      <w:rPr>
        <w:rFonts w:hint="default"/>
        <w:lang w:val="en-GB" w:eastAsia="en-GB" w:bidi="en-GB"/>
      </w:rPr>
    </w:lvl>
    <w:lvl w:ilvl="6" w:tplc="DAE05D86">
      <w:numFmt w:val="bullet"/>
      <w:lvlText w:val="•"/>
      <w:lvlJc w:val="left"/>
      <w:pPr>
        <w:ind w:left="6027" w:hanging="361"/>
      </w:pPr>
      <w:rPr>
        <w:rFonts w:hint="default"/>
        <w:lang w:val="en-GB" w:eastAsia="en-GB" w:bidi="en-GB"/>
      </w:rPr>
    </w:lvl>
    <w:lvl w:ilvl="7" w:tplc="53AEAD42">
      <w:numFmt w:val="bullet"/>
      <w:lvlText w:val="•"/>
      <w:lvlJc w:val="left"/>
      <w:pPr>
        <w:ind w:left="6952" w:hanging="361"/>
      </w:pPr>
      <w:rPr>
        <w:rFonts w:hint="default"/>
        <w:lang w:val="en-GB" w:eastAsia="en-GB" w:bidi="en-GB"/>
      </w:rPr>
    </w:lvl>
    <w:lvl w:ilvl="8" w:tplc="6BFC3ABA">
      <w:numFmt w:val="bullet"/>
      <w:lvlText w:val="•"/>
      <w:lvlJc w:val="left"/>
      <w:pPr>
        <w:ind w:left="7877" w:hanging="361"/>
      </w:pPr>
      <w:rPr>
        <w:rFonts w:hint="default"/>
        <w:lang w:val="en-GB" w:eastAsia="en-GB" w:bidi="en-GB"/>
      </w:rPr>
    </w:lvl>
  </w:abstractNum>
  <w:abstractNum w:abstractNumId="1">
    <w:nsid w:val="30BA1F0F"/>
    <w:multiLevelType w:val="hybridMultilevel"/>
    <w:tmpl w:val="375E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035BD"/>
    <w:multiLevelType w:val="hybridMultilevel"/>
    <w:tmpl w:val="EAD8282E"/>
    <w:lvl w:ilvl="0" w:tplc="69C4E2F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946F3"/>
    <w:multiLevelType w:val="hybridMultilevel"/>
    <w:tmpl w:val="FA981ADC"/>
    <w:lvl w:ilvl="0" w:tplc="4C2E0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52"/>
    <w:rsid w:val="000155B5"/>
    <w:rsid w:val="0002363E"/>
    <w:rsid w:val="000307D9"/>
    <w:rsid w:val="00042FCD"/>
    <w:rsid w:val="000913BF"/>
    <w:rsid w:val="00193A2A"/>
    <w:rsid w:val="00222396"/>
    <w:rsid w:val="00287A6D"/>
    <w:rsid w:val="002C7C46"/>
    <w:rsid w:val="0035556A"/>
    <w:rsid w:val="00390218"/>
    <w:rsid w:val="003D3311"/>
    <w:rsid w:val="004A1118"/>
    <w:rsid w:val="004F4F74"/>
    <w:rsid w:val="00521051"/>
    <w:rsid w:val="005B35F9"/>
    <w:rsid w:val="00672139"/>
    <w:rsid w:val="00686677"/>
    <w:rsid w:val="006D2956"/>
    <w:rsid w:val="00704420"/>
    <w:rsid w:val="00737EE5"/>
    <w:rsid w:val="0074513C"/>
    <w:rsid w:val="00761DDB"/>
    <w:rsid w:val="008001A3"/>
    <w:rsid w:val="00811CC6"/>
    <w:rsid w:val="008C7547"/>
    <w:rsid w:val="00905952"/>
    <w:rsid w:val="0099190E"/>
    <w:rsid w:val="009E6E95"/>
    <w:rsid w:val="00B01C6E"/>
    <w:rsid w:val="00BB7BCB"/>
    <w:rsid w:val="00CD48DC"/>
    <w:rsid w:val="00D545A2"/>
    <w:rsid w:val="00EB678C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87A6D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5B35F9"/>
    <w:pPr>
      <w:widowControl w:val="0"/>
      <w:autoSpaceDE w:val="0"/>
      <w:autoSpaceDN w:val="0"/>
    </w:pPr>
    <w:rPr>
      <w:rFonts w:eastAsia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B35F9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B3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1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5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3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87A6D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5B35F9"/>
    <w:pPr>
      <w:widowControl w:val="0"/>
      <w:autoSpaceDE w:val="0"/>
      <w:autoSpaceDN w:val="0"/>
    </w:pPr>
    <w:rPr>
      <w:rFonts w:eastAsia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B35F9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B3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1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5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3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272</Value>
      <Value>138</Value>
      <Value>5</Value>
    </TaxCatchAll>
    <MDCNextReviewDate xmlns="28cb8f8e-29e0-4a7c-8bb2-7bf5dc98cc72">2020-05-19T10:48:36+00:00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2020-05-19T10:48:36+00:00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4df98a31-22bb-4376-858c-f55d20bfafd0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First Aid</TermName>
          <TermId xmlns="http://schemas.microsoft.com/office/infopath/2007/PartnerControls">443256aa-9da9-49e5-8253-abc66a2feab5</TermId>
        </TermInfo>
      </Terms>
    </mbfb13c5f35a493f8d979d836205385f>
    <MDCLastReviewDate xmlns="28cb8f8e-29e0-4a7c-8bb2-7bf5dc98cc72">2020-05-19T10:48:36+00:00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2ESN3ACQHJS5-1334970709-3114</_dlc_DocId>
    <_dlc_DocIdUrl xmlns="28cb8f8e-29e0-4a7c-8bb2-7bf5dc98cc72">
      <Url>http://staffnet2/sites/DocumentCentre/_layouts/15/DocIdRedir.aspx?ID=2ESN3ACQHJS5-1334970709-3114</Url>
      <Description>2ESN3ACQHJS5-1334970709-3114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4ECCB-01B5-4B9A-AC18-73B1AAB3B4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E4C769-6222-4CC0-B05B-001B1FE08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7EE3D-DC43-4556-BB08-816D4C0C1836}">
  <ds:schemaRefs>
    <ds:schemaRef ds:uri="acaffffc-f956-46ea-834c-9e136528c25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28cb8f8e-29e0-4a7c-8bb2-7bf5dc98cc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E97D5B-2821-4BE4-B10C-BE13C728F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Riley</dc:creator>
  <cp:lastModifiedBy>Jill Richards</cp:lastModifiedBy>
  <cp:revision>2</cp:revision>
  <dcterms:created xsi:type="dcterms:W3CDTF">2020-07-03T12:27:00Z</dcterms:created>
  <dcterms:modified xsi:type="dcterms:W3CDTF">2020-07-03T12:27:00Z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0x010100CC22473C2D7C426DA9337489D94DAF930049A8DED8266C49F5A12CC1CBFF8FDA140700A9A8AC83107BC348BF42D2D5B20DE480</vt:lpwstr>
  </property>
  <property fmtid="{D5CDD505-2E9C-101B-9397-08002B2CF9AE}" pid="3" name="_dlc_DocIdItemGuid">
    <vt:lpwstr>854accce-3983-45c7-aca7-612659079f8a</vt:lpwstr>
  </property>
  <property fmtid="{D5CDD505-2E9C-101B-9397-08002B2CF9AE}" pid="4" name="MDCDepartment">
    <vt:lpwstr>138;#HR|4df98a31-22bb-4376-858c-f55d20bfafd0</vt:lpwstr>
  </property>
  <property fmtid="{D5CDD505-2E9C-101B-9397-08002B2CF9AE}" pid="5" name="MDCDocumentApprover">
    <vt:lpwstr>5;#Staff Negotiating Body|2c43aabc-b5d7-4b86-8f35-5ec993495702</vt:lpwstr>
  </property>
  <property fmtid="{D5CDD505-2E9C-101B-9397-08002B2CF9AE}" pid="6" name="MDCDocumentOwner">
    <vt:lpwstr/>
  </property>
  <property fmtid="{D5CDD505-2E9C-101B-9397-08002B2CF9AE}" pid="7" name="MercuryCategory">
    <vt:lpwstr>272;#First Aid|443256aa-9da9-49e5-8253-abc66a2feab5</vt:lpwstr>
  </property>
  <property fmtid="{D5CDD505-2E9C-101B-9397-08002B2CF9AE}" pid="8" name="MDCRelevancy">
    <vt:lpwstr/>
  </property>
</Properties>
</file>