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67" w:rsidRDefault="005F791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VTE Prophylaxis in patients with Suspected/Confirmed Covid-</w:t>
      </w:r>
      <w:proofErr w:type="gramStart"/>
      <w:r>
        <w:rPr>
          <w:sz w:val="28"/>
          <w:szCs w:val="28"/>
        </w:rPr>
        <w:t>19  in</w:t>
      </w:r>
      <w:proofErr w:type="gramEnd"/>
      <w:r>
        <w:rPr>
          <w:sz w:val="28"/>
          <w:szCs w:val="28"/>
        </w:rPr>
        <w:t xml:space="preserve"> LYPFT Inpatient Settings</w:t>
      </w:r>
    </w:p>
    <w:p w:rsidR="005F791E" w:rsidRDefault="005F791E" w:rsidP="005F7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F791E" w:rsidRDefault="005F791E" w:rsidP="005F791E">
      <w:r w:rsidRPr="003448E8">
        <w:t>A coagulopathy</w:t>
      </w:r>
      <w:r>
        <w:t xml:space="preserve"> similar to, but distinct from, disseminated intravascular coagulation is a common feature in patients with </w:t>
      </w:r>
      <w:r>
        <w:rPr>
          <w:lang w:val="en"/>
        </w:rPr>
        <w:t xml:space="preserve">SARS-CoV-2 </w:t>
      </w:r>
      <w:r>
        <w:t xml:space="preserve">infection (COVID-19 disease), especially those with severe illness. Furthermore, widespread </w:t>
      </w:r>
      <w:proofErr w:type="spellStart"/>
      <w:r>
        <w:t>microvascular</w:t>
      </w:r>
      <w:proofErr w:type="spellEnd"/>
      <w:r>
        <w:t xml:space="preserve"> thrombosis has been described in the lungs at post mortem in COVID-19 pneumonia. The coagulopathy is likely induced by a “cytokine storm” due to a severe host inflammatory response and hypoxia may also play a role in the pathophysiology.</w:t>
      </w:r>
    </w:p>
    <w:p w:rsidR="005F791E" w:rsidRDefault="005F791E" w:rsidP="005F791E"/>
    <w:p w:rsidR="005F791E" w:rsidRPr="005F791E" w:rsidRDefault="005F791E" w:rsidP="005F7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All patients with suspected or confirmed </w:t>
      </w:r>
      <w:proofErr w:type="spellStart"/>
      <w:r>
        <w:t>Covid</w:t>
      </w:r>
      <w:proofErr w:type="spellEnd"/>
      <w:r>
        <w:t xml:space="preserve"> require re-assessment for VTE prophylaxis.</w:t>
      </w:r>
    </w:p>
    <w:p w:rsidR="005F791E" w:rsidRPr="005F791E" w:rsidRDefault="005F791E" w:rsidP="005F7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The threshold for commencing prophylaxis is lower given the coagulopathy associated with Covid-19 as well as the requirement for 14 days of isolation in patients with Covid-19</w:t>
      </w:r>
      <w:r w:rsidR="00B13867">
        <w:t>, likely to cause reduction in mobility.</w:t>
      </w:r>
    </w:p>
    <w:p w:rsidR="006D60EB" w:rsidRPr="006D60EB" w:rsidRDefault="005F791E" w:rsidP="006D60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Follow the LYPFT guidelines on VTE prophylaxis found on </w:t>
      </w:r>
      <w:proofErr w:type="spellStart"/>
      <w:r>
        <w:t>staffnet</w:t>
      </w:r>
      <w:proofErr w:type="spellEnd"/>
      <w:r w:rsidR="006D60EB">
        <w:t xml:space="preserve"> or via link </w:t>
      </w:r>
    </w:p>
    <w:p w:rsidR="005F791E" w:rsidRDefault="00CD460B" w:rsidP="005F791E">
      <w:hyperlink r:id="rId6" w:tgtFrame="_blank" w:history="1">
        <w:r w:rsidR="006D60EB">
          <w:rPr>
            <w:rStyle w:val="Hyperlink"/>
            <w:rFonts w:ascii="Calibri" w:hAnsi="Calibri" w:cs="Calibri"/>
            <w:sz w:val="23"/>
            <w:szCs w:val="23"/>
          </w:rPr>
          <w:t>http://staffnet2/sites/DocumentCentre/Resources/RISK%20ASSESSMENT%20FOR%20VENOUS%20THROMBOEMBOLISM%202020.docx</w:t>
        </w:r>
      </w:hyperlink>
    </w:p>
    <w:p w:rsidR="005F791E" w:rsidRDefault="005F791E" w:rsidP="005F791E"/>
    <w:p w:rsidR="005F791E" w:rsidRPr="005F791E" w:rsidRDefault="005F791E">
      <w:pPr>
        <w:rPr>
          <w:sz w:val="28"/>
          <w:szCs w:val="28"/>
        </w:rPr>
      </w:pPr>
    </w:p>
    <w:sectPr w:rsidR="005F791E" w:rsidRPr="005F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A7D"/>
    <w:multiLevelType w:val="hybridMultilevel"/>
    <w:tmpl w:val="E628183A"/>
    <w:lvl w:ilvl="0" w:tplc="0CE2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E"/>
    <w:rsid w:val="00146967"/>
    <w:rsid w:val="005F791E"/>
    <w:rsid w:val="006D60EB"/>
    <w:rsid w:val="00B13867"/>
    <w:rsid w:val="00C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60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60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net2/sites/DocumentCentre/Resources/RISK%20ASSESSMENT%20FOR%20VENOUS%20THROMBOEMBOLISM%202020.doc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2020-06-15T14:07:34+00:00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2020-06-15T14:07:34+00:00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2020-06-15T14:07:34+00:00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2ESN3ACQHJS5-1334970709-3132</_dlc_DocId>
    <_dlc_DocIdUrl xmlns="28cb8f8e-29e0-4a7c-8bb2-7bf5dc98cc72">
      <Url>http://staffnet2/sites/DocumentCentre/_layouts/15/DocIdRedir.aspx?ID=2ESN3ACQHJS5-1334970709-3132</Url>
      <Description>2ESN3ACQHJS5-1334970709-3132</Description>
    </_dlc_DocIdUrl>
  </documentManagement>
</p:properties>
</file>

<file path=customXml/itemProps1.xml><?xml version="1.0" encoding="utf-8"?>
<ds:datastoreItem xmlns:ds="http://schemas.openxmlformats.org/officeDocument/2006/customXml" ds:itemID="{12769DE2-E350-4F0C-93E5-2925C7FD564B}"/>
</file>

<file path=customXml/itemProps2.xml><?xml version="1.0" encoding="utf-8"?>
<ds:datastoreItem xmlns:ds="http://schemas.openxmlformats.org/officeDocument/2006/customXml" ds:itemID="{ECB7EE4C-F04C-47E4-9051-3BB4EC20463B}"/>
</file>

<file path=customXml/itemProps3.xml><?xml version="1.0" encoding="utf-8"?>
<ds:datastoreItem xmlns:ds="http://schemas.openxmlformats.org/officeDocument/2006/customXml" ds:itemID="{CBEA847D-23D1-4F4A-9E25-59B66FD35AEF}"/>
</file>

<file path=customXml/itemProps4.xml><?xml version="1.0" encoding="utf-8"?>
<ds:datastoreItem xmlns:ds="http://schemas.openxmlformats.org/officeDocument/2006/customXml" ds:itemID="{72817AE5-3B7B-40E7-BCE0-D3C8A383D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Waddingham</dc:creator>
  <cp:lastModifiedBy>Rakesh Mistry</cp:lastModifiedBy>
  <cp:revision>2</cp:revision>
  <dcterms:created xsi:type="dcterms:W3CDTF">2020-06-15T14:05:00Z</dcterms:created>
  <dcterms:modified xsi:type="dcterms:W3CDTF">2020-06-15T14:05:00Z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fb68a0d9-ccab-4795-833c-f132e5024c79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