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71F0" w14:textId="77777777" w:rsidR="0034549F" w:rsidRPr="00D72822" w:rsidRDefault="0034549F" w:rsidP="00A93D96">
      <w:pPr>
        <w:rPr>
          <w:rFonts w:ascii="Arial" w:hAnsi="Arial" w:cs="Arial"/>
          <w:sz w:val="24"/>
          <w:szCs w:val="24"/>
        </w:rPr>
      </w:pPr>
    </w:p>
    <w:p w14:paraId="7AD8B32A" w14:textId="77777777" w:rsidR="00181FD5" w:rsidRPr="00D72822" w:rsidRDefault="00181FD5" w:rsidP="00A93D96">
      <w:pPr>
        <w:rPr>
          <w:rFonts w:ascii="Arial" w:hAnsi="Arial" w:cs="Arial"/>
          <w:sz w:val="24"/>
          <w:szCs w:val="24"/>
        </w:rPr>
      </w:pPr>
    </w:p>
    <w:p w14:paraId="665E4E30" w14:textId="77777777" w:rsidR="00181FD5" w:rsidRPr="00D72822" w:rsidRDefault="00181FD5" w:rsidP="00A93D96">
      <w:pPr>
        <w:rPr>
          <w:rFonts w:ascii="Arial" w:hAnsi="Arial" w:cs="Arial"/>
          <w:sz w:val="24"/>
          <w:szCs w:val="24"/>
        </w:rPr>
      </w:pPr>
    </w:p>
    <w:p w14:paraId="4A08D267" w14:textId="77777777" w:rsidR="00A93D96" w:rsidRPr="00D72822" w:rsidRDefault="00A93D96" w:rsidP="00D72822">
      <w:pPr>
        <w:pStyle w:val="Title"/>
        <w:rPr>
          <w:rFonts w:ascii="Arial" w:hAnsi="Arial" w:cs="Arial"/>
        </w:rPr>
      </w:pPr>
      <w:r w:rsidRPr="00D72822">
        <w:rPr>
          <w:rFonts w:ascii="Arial" w:hAnsi="Arial" w:cs="Arial"/>
        </w:rPr>
        <w:t>Management of ADHD medication shortages: advice for primary care</w:t>
      </w:r>
    </w:p>
    <w:p w14:paraId="282874A3" w14:textId="77777777" w:rsidR="00D72822" w:rsidRPr="00D72822" w:rsidRDefault="00D72822" w:rsidP="00D72822">
      <w:pPr>
        <w:rPr>
          <w:rFonts w:ascii="Arial" w:hAnsi="Arial" w:cs="Arial"/>
          <w:sz w:val="24"/>
          <w:szCs w:val="24"/>
        </w:rPr>
      </w:pPr>
    </w:p>
    <w:p w14:paraId="00B0921A" w14:textId="54FCACDF" w:rsidR="00D72822" w:rsidRPr="00D72822" w:rsidRDefault="00D72822" w:rsidP="00A93D96">
      <w:pPr>
        <w:rPr>
          <w:rFonts w:ascii="Arial" w:hAnsi="Arial" w:cs="Arial"/>
          <w:kern w:val="0"/>
          <w:sz w:val="24"/>
          <w:szCs w:val="24"/>
          <w14:ligatures w14:val="none"/>
        </w:rPr>
      </w:pPr>
      <w:r w:rsidRPr="00D72822">
        <w:rPr>
          <w:rFonts w:ascii="Arial" w:hAnsi="Arial" w:cs="Arial"/>
          <w:kern w:val="0"/>
          <w:sz w:val="24"/>
          <w:szCs w:val="24"/>
          <w14:ligatures w14:val="none"/>
        </w:rPr>
        <w:t>Last updated: 11 October 202</w:t>
      </w:r>
      <w:r>
        <w:rPr>
          <w:rFonts w:ascii="Arial" w:hAnsi="Arial" w:cs="Arial"/>
          <w:kern w:val="0"/>
          <w:sz w:val="24"/>
          <w:szCs w:val="24"/>
          <w14:ligatures w14:val="none"/>
        </w:rPr>
        <w:t>3</w:t>
      </w:r>
    </w:p>
    <w:p w14:paraId="3BD7E209" w14:textId="77777777" w:rsidR="00D72822" w:rsidRPr="00D72822" w:rsidRDefault="00D72822" w:rsidP="00A93D96">
      <w:pPr>
        <w:rPr>
          <w:rFonts w:ascii="Arial" w:hAnsi="Arial" w:cs="Arial"/>
          <w:b/>
          <w:bCs/>
          <w:kern w:val="0"/>
          <w:sz w:val="24"/>
          <w:szCs w:val="24"/>
          <w14:ligatures w14:val="none"/>
        </w:rPr>
      </w:pPr>
    </w:p>
    <w:p w14:paraId="4F7C9FB2" w14:textId="77777777" w:rsidR="00A93D96" w:rsidRPr="00D72822" w:rsidRDefault="00A93D96" w:rsidP="00D72822">
      <w:pPr>
        <w:rPr>
          <w:rFonts w:ascii="Arial" w:hAnsi="Arial" w:cs="Arial"/>
          <w:sz w:val="24"/>
          <w:szCs w:val="24"/>
        </w:rPr>
      </w:pPr>
      <w:r w:rsidRPr="00D72822">
        <w:rPr>
          <w:rFonts w:ascii="Arial" w:hAnsi="Arial" w:cs="Arial"/>
          <w:sz w:val="24"/>
          <w:szCs w:val="24"/>
        </w:rPr>
        <w:t>There are widespread shortages of ADHD medications and patients could experience a break in their treatment whilst stocks return to normal.</w:t>
      </w:r>
    </w:p>
    <w:p w14:paraId="7B07472D" w14:textId="77777777" w:rsidR="00A93D96" w:rsidRPr="00D72822" w:rsidRDefault="00A93D96" w:rsidP="00D72822">
      <w:pPr>
        <w:rPr>
          <w:rFonts w:ascii="Arial" w:hAnsi="Arial" w:cs="Arial"/>
          <w:sz w:val="24"/>
          <w:szCs w:val="24"/>
        </w:rPr>
      </w:pPr>
      <w:r w:rsidRPr="00D72822">
        <w:rPr>
          <w:rFonts w:ascii="Arial" w:hAnsi="Arial" w:cs="Arial"/>
          <w:sz w:val="24"/>
          <w:szCs w:val="24"/>
        </w:rPr>
        <w:t xml:space="preserve">Patients are not restricted to using their nominated pharmacy. They may need to obtain stock from another pharmacy, this can be done by using the prescription token/barcode AND the pharmacy releasing the prescription back to the spine. </w:t>
      </w:r>
    </w:p>
    <w:p w14:paraId="61428F8B" w14:textId="567A1382" w:rsidR="00A93D96" w:rsidRPr="00D72822" w:rsidRDefault="00A93D96" w:rsidP="00D72822">
      <w:pPr>
        <w:rPr>
          <w:rFonts w:ascii="Arial" w:hAnsi="Arial" w:cs="Arial"/>
          <w:sz w:val="24"/>
          <w:szCs w:val="24"/>
        </w:rPr>
      </w:pPr>
      <w:r w:rsidRPr="00D72822">
        <w:rPr>
          <w:rFonts w:ascii="Arial" w:hAnsi="Arial" w:cs="Arial"/>
          <w:sz w:val="24"/>
          <w:szCs w:val="24"/>
        </w:rPr>
        <w:t>LYPFT ha</w:t>
      </w:r>
      <w:r w:rsidR="00D72822">
        <w:rPr>
          <w:rFonts w:ascii="Arial" w:hAnsi="Arial" w:cs="Arial"/>
          <w:sz w:val="24"/>
          <w:szCs w:val="24"/>
        </w:rPr>
        <w:t>s</w:t>
      </w:r>
      <w:r w:rsidRPr="00D72822">
        <w:rPr>
          <w:rFonts w:ascii="Arial" w:hAnsi="Arial" w:cs="Arial"/>
          <w:sz w:val="24"/>
          <w:szCs w:val="24"/>
        </w:rPr>
        <w:t xml:space="preserve"> produced patient </w:t>
      </w:r>
      <w:r w:rsidR="00D72822">
        <w:rPr>
          <w:rFonts w:ascii="Arial" w:hAnsi="Arial" w:cs="Arial"/>
          <w:sz w:val="24"/>
          <w:szCs w:val="24"/>
        </w:rPr>
        <w:t>information w</w:t>
      </w:r>
      <w:r w:rsidRPr="00D72822">
        <w:rPr>
          <w:rFonts w:ascii="Arial" w:hAnsi="Arial" w:cs="Arial"/>
          <w:sz w:val="24"/>
          <w:szCs w:val="24"/>
        </w:rPr>
        <w:t xml:space="preserve">hich will be updated regularly on the LYPFT ADHD </w:t>
      </w:r>
      <w:r w:rsidR="00D72822">
        <w:rPr>
          <w:rFonts w:ascii="Arial" w:hAnsi="Arial" w:cs="Arial"/>
          <w:sz w:val="24"/>
          <w:szCs w:val="24"/>
        </w:rPr>
        <w:t>page</w:t>
      </w:r>
      <w:r w:rsidRPr="00D72822">
        <w:rPr>
          <w:rFonts w:ascii="Arial" w:hAnsi="Arial" w:cs="Arial"/>
          <w:sz w:val="24"/>
          <w:szCs w:val="24"/>
        </w:rPr>
        <w:t xml:space="preserve"> of </w:t>
      </w:r>
      <w:r w:rsidR="00D72822">
        <w:rPr>
          <w:rFonts w:ascii="Arial" w:hAnsi="Arial" w:cs="Arial"/>
          <w:sz w:val="24"/>
          <w:szCs w:val="24"/>
        </w:rPr>
        <w:t>our</w:t>
      </w:r>
      <w:r w:rsidRPr="00D72822">
        <w:rPr>
          <w:rFonts w:ascii="Arial" w:hAnsi="Arial" w:cs="Arial"/>
          <w:sz w:val="24"/>
          <w:szCs w:val="24"/>
        </w:rPr>
        <w:t xml:space="preserve"> website</w:t>
      </w:r>
      <w:r w:rsidR="00D72822">
        <w:rPr>
          <w:rFonts w:ascii="Arial" w:hAnsi="Arial" w:cs="Arial"/>
          <w:sz w:val="24"/>
          <w:szCs w:val="24"/>
        </w:rPr>
        <w:t xml:space="preserve"> at </w:t>
      </w:r>
      <w:hyperlink r:id="rId12" w:history="1">
        <w:r w:rsidRPr="00D72822">
          <w:rPr>
            <w:rStyle w:val="Hyperlink"/>
            <w:rFonts w:ascii="Arial" w:hAnsi="Arial" w:cs="Arial"/>
            <w:sz w:val="24"/>
            <w:szCs w:val="24"/>
          </w:rPr>
          <w:t>https://www.leedsandyorkpft.nhs.uk/our-</w:t>
        </w:r>
        <w:r w:rsidRPr="00D72822">
          <w:rPr>
            <w:rStyle w:val="Hyperlink"/>
            <w:rFonts w:ascii="Arial" w:hAnsi="Arial" w:cs="Arial"/>
            <w:sz w:val="24"/>
            <w:szCs w:val="24"/>
          </w:rPr>
          <w:t>s</w:t>
        </w:r>
        <w:r w:rsidRPr="00D72822">
          <w:rPr>
            <w:rStyle w:val="Hyperlink"/>
            <w:rFonts w:ascii="Arial" w:hAnsi="Arial" w:cs="Arial"/>
            <w:sz w:val="24"/>
            <w:szCs w:val="24"/>
          </w:rPr>
          <w:t>ervices/adult-attention-deficit-hyperactivity-disorder-adhd-service/</w:t>
        </w:r>
      </w:hyperlink>
      <w:r w:rsidR="00D72822">
        <w:rPr>
          <w:rFonts w:ascii="Arial" w:hAnsi="Arial" w:cs="Arial"/>
          <w:sz w:val="24"/>
          <w:szCs w:val="24"/>
        </w:rPr>
        <w:t xml:space="preserve">. </w:t>
      </w:r>
    </w:p>
    <w:p w14:paraId="5189AD9F" w14:textId="77777777" w:rsidR="00A93D96" w:rsidRPr="00D72822" w:rsidRDefault="00A93D96" w:rsidP="00D72822">
      <w:pPr>
        <w:rPr>
          <w:rFonts w:ascii="Arial" w:hAnsi="Arial" w:cs="Arial"/>
          <w:sz w:val="24"/>
          <w:szCs w:val="24"/>
        </w:rPr>
      </w:pPr>
      <w:r w:rsidRPr="00D72822">
        <w:rPr>
          <w:rFonts w:ascii="Arial" w:hAnsi="Arial" w:cs="Arial"/>
          <w:sz w:val="24"/>
          <w:szCs w:val="24"/>
        </w:rPr>
        <w:t xml:space="preserve">Patients should be advised to use their remaining supply sparingly and to consider a drug holiday if </w:t>
      </w:r>
      <w:proofErr w:type="gramStart"/>
      <w:r w:rsidRPr="00D72822">
        <w:rPr>
          <w:rFonts w:ascii="Arial" w:hAnsi="Arial" w:cs="Arial"/>
          <w:sz w:val="24"/>
          <w:szCs w:val="24"/>
        </w:rPr>
        <w:t>appropriate, if</w:t>
      </w:r>
      <w:proofErr w:type="gramEnd"/>
      <w:r w:rsidRPr="00D72822">
        <w:rPr>
          <w:rFonts w:ascii="Arial" w:hAnsi="Arial" w:cs="Arial"/>
          <w:sz w:val="24"/>
          <w:szCs w:val="24"/>
        </w:rPr>
        <w:t xml:space="preserve"> further supplies cannot be sourced. NOTE:  it is not advised to abruptly stop or start guanfacine m/r (Intuniv®)</w:t>
      </w:r>
    </w:p>
    <w:p w14:paraId="29D69CB5" w14:textId="77777777" w:rsidR="00A93D96" w:rsidRPr="00D72822" w:rsidRDefault="00A93D96" w:rsidP="00D72822">
      <w:pPr>
        <w:rPr>
          <w:rFonts w:ascii="Arial" w:hAnsi="Arial" w:cs="Arial"/>
          <w:sz w:val="24"/>
          <w:szCs w:val="24"/>
        </w:rPr>
      </w:pPr>
      <w:r w:rsidRPr="00D72822">
        <w:rPr>
          <w:rFonts w:ascii="Arial" w:hAnsi="Arial" w:cs="Arial"/>
          <w:sz w:val="24"/>
          <w:szCs w:val="24"/>
        </w:rPr>
        <w:t>Behavioural management is already consistently advocated.  Omitting medication on weekends and non-school days is possible and routinely practiced.  It can prolong supply for the days that it is most necessary.</w:t>
      </w:r>
    </w:p>
    <w:p w14:paraId="29468D78" w14:textId="77777777" w:rsidR="00A93D96" w:rsidRPr="00D72822" w:rsidRDefault="00A93D96" w:rsidP="00D72822">
      <w:pPr>
        <w:rPr>
          <w:rFonts w:ascii="Arial" w:hAnsi="Arial" w:cs="Arial"/>
          <w:sz w:val="24"/>
          <w:szCs w:val="24"/>
        </w:rPr>
      </w:pPr>
      <w:r w:rsidRPr="00D72822">
        <w:rPr>
          <w:rFonts w:ascii="Arial" w:hAnsi="Arial" w:cs="Arial"/>
          <w:sz w:val="24"/>
          <w:szCs w:val="24"/>
        </w:rPr>
        <w:t>Searches to identify affected patients can be found in the clinical systems (searches will need importing from Leeds ICB Central 27491 reporting unit in EMIS): Leeds ICB &gt; Medicines Optimisation Team &gt; Prescribing Support Medicines Safety &gt;</w:t>
      </w:r>
    </w:p>
    <w:p w14:paraId="12ADF389" w14:textId="77777777" w:rsidR="00A93D96" w:rsidRPr="00D72822" w:rsidRDefault="00A93D96" w:rsidP="00D72822">
      <w:pPr>
        <w:rPr>
          <w:rFonts w:ascii="Arial" w:hAnsi="Arial" w:cs="Arial"/>
          <w:sz w:val="24"/>
          <w:szCs w:val="24"/>
        </w:rPr>
      </w:pPr>
      <w:r w:rsidRPr="00D72822">
        <w:rPr>
          <w:rFonts w:ascii="Arial" w:hAnsi="Arial" w:cs="Arial"/>
          <w:sz w:val="24"/>
          <w:szCs w:val="24"/>
        </w:rPr>
        <w:t xml:space="preserve">NatPSA ALL Methylphenidate XL preps on </w:t>
      </w:r>
      <w:proofErr w:type="gramStart"/>
      <w:r w:rsidRPr="00D72822">
        <w:rPr>
          <w:rFonts w:ascii="Arial" w:hAnsi="Arial" w:cs="Arial"/>
          <w:sz w:val="24"/>
          <w:szCs w:val="24"/>
        </w:rPr>
        <w:t>rpt</w:t>
      </w:r>
      <w:proofErr w:type="gramEnd"/>
    </w:p>
    <w:p w14:paraId="3664986D" w14:textId="77777777" w:rsidR="00A93D96" w:rsidRPr="00D72822" w:rsidRDefault="00A93D96" w:rsidP="00D72822">
      <w:pPr>
        <w:rPr>
          <w:rFonts w:ascii="Arial" w:hAnsi="Arial" w:cs="Arial"/>
          <w:sz w:val="24"/>
          <w:szCs w:val="24"/>
        </w:rPr>
      </w:pPr>
      <w:r w:rsidRPr="00D72822">
        <w:rPr>
          <w:rFonts w:ascii="Arial" w:hAnsi="Arial" w:cs="Arial"/>
          <w:sz w:val="24"/>
          <w:szCs w:val="24"/>
        </w:rPr>
        <w:t>NatPSA Guanfacine tabs on rpt</w:t>
      </w:r>
    </w:p>
    <w:p w14:paraId="4C385647" w14:textId="77777777" w:rsidR="00A93D96" w:rsidRPr="00D72822" w:rsidRDefault="00A93D96" w:rsidP="00D72822">
      <w:pPr>
        <w:rPr>
          <w:rFonts w:ascii="Arial" w:hAnsi="Arial" w:cs="Arial"/>
          <w:sz w:val="24"/>
          <w:szCs w:val="24"/>
        </w:rPr>
      </w:pPr>
      <w:r w:rsidRPr="00D72822">
        <w:rPr>
          <w:rFonts w:ascii="Arial" w:hAnsi="Arial" w:cs="Arial"/>
          <w:sz w:val="24"/>
          <w:szCs w:val="24"/>
        </w:rPr>
        <w:t>NatPSA Lisdexamfetamine caps on rpt</w:t>
      </w:r>
    </w:p>
    <w:p w14:paraId="2852C2FA" w14:textId="77777777" w:rsidR="00A93D96" w:rsidRPr="00D72822" w:rsidRDefault="00A93D96" w:rsidP="00D72822">
      <w:pPr>
        <w:rPr>
          <w:rFonts w:ascii="Arial" w:hAnsi="Arial" w:cs="Arial"/>
          <w:sz w:val="24"/>
          <w:szCs w:val="24"/>
        </w:rPr>
      </w:pPr>
      <w:r w:rsidRPr="00D72822">
        <w:rPr>
          <w:rFonts w:ascii="Arial" w:hAnsi="Arial" w:cs="Arial"/>
          <w:sz w:val="24"/>
          <w:szCs w:val="24"/>
        </w:rPr>
        <w:t>NatPSA Methylphenidate XL branded tablets on rpt</w:t>
      </w:r>
    </w:p>
    <w:p w14:paraId="0A0EBADA" w14:textId="77777777" w:rsidR="00A93D96" w:rsidRPr="00D72822" w:rsidRDefault="00A93D96" w:rsidP="00D72822">
      <w:pPr>
        <w:rPr>
          <w:rFonts w:ascii="Arial" w:hAnsi="Arial" w:cs="Arial"/>
          <w:sz w:val="24"/>
          <w:szCs w:val="24"/>
        </w:rPr>
      </w:pPr>
      <w:r w:rsidRPr="00D72822">
        <w:rPr>
          <w:rFonts w:ascii="Arial" w:hAnsi="Arial" w:cs="Arial"/>
          <w:sz w:val="24"/>
          <w:szCs w:val="24"/>
        </w:rPr>
        <w:t>NatPSA Equasym XL capsules on rpt</w:t>
      </w:r>
    </w:p>
    <w:p w14:paraId="7223025A" w14:textId="77777777" w:rsidR="00A93D96" w:rsidRPr="00D72822" w:rsidRDefault="00A93D96" w:rsidP="00A93D96">
      <w:pPr>
        <w:spacing w:beforeAutospacing="1" w:after="200" w:afterAutospacing="1" w:line="240" w:lineRule="auto"/>
        <w:contextualSpacing/>
        <w:rPr>
          <w:rFonts w:ascii="Arial" w:eastAsia="Times New Roman" w:hAnsi="Arial" w:cs="Arial"/>
          <w:kern w:val="0"/>
          <w:sz w:val="24"/>
          <w:szCs w:val="24"/>
          <w14:ligatures w14:val="none"/>
        </w:rPr>
      </w:pPr>
    </w:p>
    <w:p w14:paraId="13940753" w14:textId="30E9B7C5" w:rsidR="00D72822" w:rsidRPr="00D72822" w:rsidRDefault="00D72822">
      <w:pPr>
        <w:spacing w:after="0" w:line="240" w:lineRule="auto"/>
        <w:rPr>
          <w:rFonts w:ascii="Arial" w:eastAsia="Times New Roman" w:hAnsi="Arial" w:cs="Arial"/>
          <w:kern w:val="0"/>
          <w:sz w:val="24"/>
          <w:szCs w:val="24"/>
          <w14:ligatures w14:val="none"/>
        </w:rPr>
      </w:pPr>
      <w:r w:rsidRPr="00D72822">
        <w:rPr>
          <w:rFonts w:ascii="Arial" w:eastAsia="Times New Roman" w:hAnsi="Arial" w:cs="Arial"/>
          <w:kern w:val="0"/>
          <w:sz w:val="24"/>
          <w:szCs w:val="24"/>
          <w14:ligatures w14:val="none"/>
        </w:rPr>
        <w:br w:type="page"/>
      </w:r>
    </w:p>
    <w:p w14:paraId="441E29A3" w14:textId="77777777" w:rsidR="00A93D96" w:rsidRPr="00D72822" w:rsidRDefault="00A93D96" w:rsidP="00D72822">
      <w:pPr>
        <w:pStyle w:val="Heading1"/>
        <w:rPr>
          <w:rFonts w:ascii="Arial" w:hAnsi="Arial" w:cs="Arial"/>
          <w:b/>
          <w:bCs/>
        </w:rPr>
      </w:pPr>
      <w:r w:rsidRPr="00D72822">
        <w:rPr>
          <w:rFonts w:ascii="Arial" w:hAnsi="Arial" w:cs="Arial"/>
          <w:b/>
          <w:bCs/>
        </w:rPr>
        <w:lastRenderedPageBreak/>
        <w:t>Key Messages for Primary Care: </w:t>
      </w:r>
    </w:p>
    <w:p w14:paraId="54301E44"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w:t>
      </w:r>
    </w:p>
    <w:p w14:paraId="5505FE8E" w14:textId="1EC6C36E" w:rsidR="00A93D96" w:rsidRPr="00D72822" w:rsidRDefault="00A93D96" w:rsidP="00D72822">
      <w:pPr>
        <w:pStyle w:val="ListParagraph0"/>
        <w:numPr>
          <w:ilvl w:val="0"/>
          <w:numId w:val="19"/>
        </w:num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b/>
          <w:bCs/>
          <w:kern w:val="0"/>
          <w:sz w:val="24"/>
          <w:szCs w:val="24"/>
          <w:lang w:eastAsia="en-GB"/>
          <w14:ligatures w14:val="none"/>
        </w:rPr>
        <w:t>No new initiations:</w:t>
      </w:r>
      <w:r w:rsidRPr="00D72822">
        <w:rPr>
          <w:rFonts w:ascii="Arial" w:eastAsia="Times New Roman" w:hAnsi="Arial" w:cs="Arial"/>
          <w:kern w:val="0"/>
          <w:sz w:val="24"/>
          <w:szCs w:val="24"/>
          <w:lang w:eastAsia="en-GB"/>
          <w14:ligatures w14:val="none"/>
        </w:rPr>
        <w:t xml:space="preserve"> </w:t>
      </w:r>
    </w:p>
    <w:p w14:paraId="62035DFB"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Prescribers should not initiate new patients on products affected by this shortage until the supply issues resolve. This will be regularly reviewed at West Yorkshire level and further changes/updates will be communicated. </w:t>
      </w:r>
    </w:p>
    <w:p w14:paraId="36396291"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w:t>
      </w:r>
    </w:p>
    <w:p w14:paraId="52871C3B" w14:textId="069B9D27" w:rsidR="00A93D96" w:rsidRPr="00D72822" w:rsidRDefault="00A93D96" w:rsidP="00D72822">
      <w:pPr>
        <w:pStyle w:val="ListParagraph0"/>
        <w:numPr>
          <w:ilvl w:val="0"/>
          <w:numId w:val="19"/>
        </w:num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b/>
          <w:bCs/>
          <w:kern w:val="0"/>
          <w:sz w:val="24"/>
          <w:szCs w:val="24"/>
          <w:lang w:eastAsia="en-GB"/>
          <w14:ligatures w14:val="none"/>
        </w:rPr>
        <w:t>Identification of patients:</w:t>
      </w:r>
      <w:r w:rsidRPr="00D72822">
        <w:rPr>
          <w:rFonts w:ascii="Arial" w:eastAsia="Times New Roman" w:hAnsi="Arial" w:cs="Arial"/>
          <w:kern w:val="0"/>
          <w:sz w:val="24"/>
          <w:szCs w:val="24"/>
          <w:lang w:eastAsia="en-GB"/>
          <w14:ligatures w14:val="none"/>
        </w:rPr>
        <w:t xml:space="preserve"> </w:t>
      </w:r>
    </w:p>
    <w:p w14:paraId="2452EF2F"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Identify all patients currently prescribed these products (searches have been made available in clinical systems), and send a text message to all patients with link to Comms on West Yorkshire HCP Website (this will be updated as new guidance and stock updates are made available) </w:t>
      </w:r>
    </w:p>
    <w:p w14:paraId="1CAE9932"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w:t>
      </w:r>
    </w:p>
    <w:p w14:paraId="7137D2B3" w14:textId="5AA11FA7" w:rsidR="00A93D96" w:rsidRPr="00D72822" w:rsidRDefault="00A93D96" w:rsidP="00D72822">
      <w:pPr>
        <w:pStyle w:val="ListParagraph0"/>
        <w:numPr>
          <w:ilvl w:val="0"/>
          <w:numId w:val="19"/>
        </w:numPr>
        <w:spacing w:after="0" w:line="240" w:lineRule="auto"/>
        <w:rPr>
          <w:rFonts w:ascii="Arial" w:eastAsia="Times New Roman" w:hAnsi="Arial" w:cs="Arial"/>
          <w:b/>
          <w:bCs/>
          <w:kern w:val="0"/>
          <w:sz w:val="24"/>
          <w:szCs w:val="24"/>
          <w:lang w:eastAsia="en-GB"/>
          <w14:ligatures w14:val="none"/>
        </w:rPr>
      </w:pPr>
      <w:r w:rsidRPr="00D72822">
        <w:rPr>
          <w:rFonts w:ascii="Arial" w:eastAsia="Times New Roman" w:hAnsi="Arial" w:cs="Arial"/>
          <w:b/>
          <w:bCs/>
          <w:kern w:val="0"/>
          <w:sz w:val="24"/>
          <w:szCs w:val="24"/>
          <w:lang w:eastAsia="en-GB"/>
          <w14:ligatures w14:val="none"/>
        </w:rPr>
        <w:t>Medication specific advice: </w:t>
      </w:r>
    </w:p>
    <w:p w14:paraId="55EBD110" w14:textId="77777777" w:rsidR="00D72822" w:rsidRPr="00D72822" w:rsidRDefault="00D72822" w:rsidP="00A93D96">
      <w:pPr>
        <w:spacing w:after="0" w:line="240" w:lineRule="auto"/>
        <w:rPr>
          <w:rFonts w:ascii="Arial" w:eastAsia="Times New Roman" w:hAnsi="Arial" w:cs="Arial"/>
          <w:kern w:val="0"/>
          <w:sz w:val="24"/>
          <w:szCs w:val="24"/>
          <w:lang w:eastAsia="en-GB"/>
          <w14:ligatures w14:val="none"/>
        </w:rPr>
      </w:pPr>
    </w:p>
    <w:p w14:paraId="059B1E6F" w14:textId="50653695"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a) </w:t>
      </w:r>
      <w:r w:rsidRPr="00D72822">
        <w:rPr>
          <w:rFonts w:ascii="Arial" w:eastAsia="Times New Roman" w:hAnsi="Arial" w:cs="Arial"/>
          <w:kern w:val="0"/>
          <w:sz w:val="24"/>
          <w:szCs w:val="24"/>
          <w:u w:val="single"/>
          <w:lang w:eastAsia="en-GB"/>
          <w14:ligatures w14:val="none"/>
        </w:rPr>
        <w:t>Guanfacine:</w:t>
      </w:r>
      <w:r w:rsidRPr="00D72822">
        <w:rPr>
          <w:rFonts w:ascii="Arial" w:eastAsia="Times New Roman" w:hAnsi="Arial" w:cs="Arial"/>
          <w:kern w:val="0"/>
          <w:sz w:val="24"/>
          <w:szCs w:val="24"/>
          <w:lang w:eastAsia="en-GB"/>
          <w14:ligatures w14:val="none"/>
        </w:rPr>
        <w:t xml:space="preserve"> Patients should be advised to taper the dose prior to stopping, by no more than 1mg every 3 days where supplies allow this. The patient may require an acute prescription of 1mg/2mg strength tablets to allow them to taper their dose – PRESCRIBE THE MINIMUM QUANTITY OF TABLETS REQUIRED (see below). </w:t>
      </w:r>
    </w:p>
    <w:p w14:paraId="32D6C508" w14:textId="77777777" w:rsidR="00D72822" w:rsidRPr="00D72822" w:rsidRDefault="00D72822" w:rsidP="00A93D96">
      <w:pPr>
        <w:spacing w:after="0" w:line="240" w:lineRule="auto"/>
        <w:rPr>
          <w:rFonts w:ascii="Arial" w:eastAsia="Times New Roman" w:hAnsi="Arial" w:cs="Arial"/>
          <w:kern w:val="0"/>
          <w:sz w:val="24"/>
          <w:szCs w:val="24"/>
          <w:lang w:eastAsia="en-GB"/>
          <w14:ligatures w14:val="none"/>
        </w:rPr>
      </w:pPr>
    </w:p>
    <w:p w14:paraId="2AEB301D"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If it is not possible to reduce slowly, monitor BP and HR on stopping (see below).</w:t>
      </w:r>
    </w:p>
    <w:p w14:paraId="1BA18D52" w14:textId="77777777" w:rsidR="00A93D96" w:rsidRPr="00D72822" w:rsidRDefault="00A93D96" w:rsidP="00A93D96">
      <w:p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Patients who are required to discontinue Guanfacine abruptly should be advised to monitor BP and HR at day 2, and again at day 4.  If blood pressure is raised at day 4, measure again at weekly intervals until normal.  If there are signs of clinically significant rebound hypertension, this should be monitored according to existing protocols until normal (see below).</w:t>
      </w:r>
    </w:p>
    <w:p w14:paraId="1FB752E4"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56F3AEF9"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xml:space="preserve">b) </w:t>
      </w:r>
      <w:r w:rsidRPr="00D72822">
        <w:rPr>
          <w:rFonts w:ascii="Arial" w:eastAsia="Times New Roman" w:hAnsi="Arial" w:cs="Arial"/>
          <w:kern w:val="0"/>
          <w:sz w:val="24"/>
          <w:szCs w:val="24"/>
          <w:u w:val="single"/>
          <w:lang w:eastAsia="en-GB"/>
          <w14:ligatures w14:val="none"/>
        </w:rPr>
        <w:t>Lisdexamfetamine:</w:t>
      </w:r>
      <w:r w:rsidRPr="00D72822">
        <w:rPr>
          <w:rFonts w:ascii="Arial" w:eastAsia="Times New Roman" w:hAnsi="Arial" w:cs="Arial"/>
          <w:kern w:val="0"/>
          <w:sz w:val="24"/>
          <w:szCs w:val="24"/>
          <w:lang w:eastAsia="en-GB"/>
          <w14:ligatures w14:val="none"/>
        </w:rPr>
        <w:t xml:space="preserve"> Patients should be encouraged to taper the dose prior to stopping. Patients maintained on doses of lisdexamfetamine greater than 50mg/day should be advised to reduce to 50mg/day at which point it can be discontinued. For patients prescribed 60mg or 70mg capsules, this may require an acute prescription of 3 x 50mg capsules, then stop. Alternatively, higher dose capsules can be dissolved in water (see below).</w:t>
      </w:r>
    </w:p>
    <w:p w14:paraId="5D8C5E7F"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6D121862" w14:textId="77777777" w:rsidR="00A93D96" w:rsidRPr="00D72822" w:rsidRDefault="00A93D96" w:rsidP="00A93D96">
      <w:pPr>
        <w:spacing w:after="0" w:line="240" w:lineRule="auto"/>
        <w:rPr>
          <w:rFonts w:ascii="Arial" w:eastAsia="Times New Roman" w:hAnsi="Arial" w:cs="Arial"/>
          <w:b/>
          <w:bCs/>
          <w:kern w:val="0"/>
          <w:sz w:val="24"/>
          <w:szCs w:val="24"/>
          <w:lang w:eastAsia="en-GB"/>
          <w14:ligatures w14:val="none"/>
        </w:rPr>
      </w:pPr>
      <w:r w:rsidRPr="00D72822">
        <w:rPr>
          <w:rFonts w:ascii="Arial" w:eastAsia="Times New Roman" w:hAnsi="Arial" w:cs="Arial"/>
          <w:kern w:val="0"/>
          <w:sz w:val="24"/>
          <w:szCs w:val="24"/>
          <w:lang w:eastAsia="en-GB"/>
          <w14:ligatures w14:val="none"/>
        </w:rPr>
        <w:t xml:space="preserve">c) </w:t>
      </w:r>
      <w:r w:rsidRPr="00D72822">
        <w:rPr>
          <w:rFonts w:ascii="Arial" w:eastAsia="Times New Roman" w:hAnsi="Arial" w:cs="Arial"/>
          <w:kern w:val="0"/>
          <w:sz w:val="24"/>
          <w:szCs w:val="24"/>
          <w:u w:val="single"/>
          <w:lang w:eastAsia="en-GB"/>
          <w14:ligatures w14:val="none"/>
        </w:rPr>
        <w:t>Methylphenidate MR Tablets:</w:t>
      </w:r>
      <w:r w:rsidRPr="00D72822">
        <w:rPr>
          <w:rFonts w:ascii="Arial" w:eastAsia="Times New Roman" w:hAnsi="Arial" w:cs="Arial"/>
          <w:kern w:val="0"/>
          <w:sz w:val="24"/>
          <w:szCs w:val="24"/>
          <w:lang w:eastAsia="en-GB"/>
          <w14:ligatures w14:val="none"/>
        </w:rPr>
        <w:t xml:space="preserve"> recommendation for primary care to switch patients on branded MR Methylphenidate TABLETS to an alternative brand</w:t>
      </w:r>
      <w:r w:rsidRPr="00D72822">
        <w:rPr>
          <w:rFonts w:ascii="Arial" w:eastAsia="Times New Roman" w:hAnsi="Arial" w:cs="Arial"/>
          <w:b/>
          <w:bCs/>
          <w:kern w:val="0"/>
          <w:sz w:val="24"/>
          <w:szCs w:val="24"/>
          <w:lang w:eastAsia="en-GB"/>
          <w14:ligatures w14:val="none"/>
        </w:rPr>
        <w:t xml:space="preserve"> </w:t>
      </w:r>
      <w:r w:rsidRPr="00D72822">
        <w:rPr>
          <w:rFonts w:ascii="Arial" w:eastAsia="Times New Roman" w:hAnsi="Arial" w:cs="Arial"/>
          <w:kern w:val="0"/>
          <w:sz w:val="24"/>
          <w:szCs w:val="24"/>
          <w:lang w:eastAsia="en-GB"/>
          <w14:ligatures w14:val="none"/>
        </w:rPr>
        <w:t>(see below).</w:t>
      </w:r>
    </w:p>
    <w:p w14:paraId="6A3E572B"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74A2F84A"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xml:space="preserve">d) </w:t>
      </w:r>
      <w:r w:rsidRPr="00D72822">
        <w:rPr>
          <w:rFonts w:ascii="Arial" w:eastAsia="Times New Roman" w:hAnsi="Arial" w:cs="Arial"/>
          <w:kern w:val="0"/>
          <w:sz w:val="24"/>
          <w:szCs w:val="24"/>
          <w:u w:val="single"/>
          <w:lang w:eastAsia="en-GB"/>
          <w14:ligatures w14:val="none"/>
        </w:rPr>
        <w:t xml:space="preserve">Methyphenidate XL </w:t>
      </w:r>
      <w:r w:rsidRPr="00D72822">
        <w:rPr>
          <w:rFonts w:ascii="Arial" w:eastAsia="Times New Roman" w:hAnsi="Arial" w:cs="Arial"/>
          <w:b/>
          <w:bCs/>
          <w:kern w:val="0"/>
          <w:sz w:val="24"/>
          <w:szCs w:val="24"/>
          <w:u w:val="single"/>
          <w:lang w:eastAsia="en-GB"/>
          <w14:ligatures w14:val="none"/>
        </w:rPr>
        <w:t>Capsules</w:t>
      </w:r>
      <w:r w:rsidRPr="00D72822">
        <w:rPr>
          <w:rFonts w:ascii="Arial" w:eastAsia="Times New Roman" w:hAnsi="Arial" w:cs="Arial"/>
          <w:kern w:val="0"/>
          <w:sz w:val="24"/>
          <w:szCs w:val="24"/>
          <w:lang w:eastAsia="en-GB"/>
          <w14:ligatures w14:val="none"/>
        </w:rPr>
        <w:t xml:space="preserve"> are not bioequivalent. </w:t>
      </w:r>
    </w:p>
    <w:p w14:paraId="2B1C2FC3"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73610F7F"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Patients may consider a switch in formulation if their usual preparation is unavailable. To switch between different XL preparations please refer to the comparison tables (see below)</w:t>
      </w:r>
    </w:p>
    <w:p w14:paraId="6D9C7C29"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27542902" w14:textId="13600CF8" w:rsidR="00A93D96" w:rsidRPr="00D72822" w:rsidRDefault="00A93D96" w:rsidP="00D72822">
      <w:pPr>
        <w:pStyle w:val="ListParagraph0"/>
        <w:numPr>
          <w:ilvl w:val="0"/>
          <w:numId w:val="19"/>
        </w:num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b/>
          <w:bCs/>
          <w:kern w:val="0"/>
          <w:sz w:val="24"/>
          <w:szCs w:val="24"/>
          <w:lang w:eastAsia="en-GB"/>
          <w14:ligatures w14:val="none"/>
        </w:rPr>
        <w:t>Seeking specialist Advice:</w:t>
      </w:r>
      <w:r w:rsidRPr="00D72822">
        <w:rPr>
          <w:rFonts w:ascii="Arial" w:eastAsia="Times New Roman" w:hAnsi="Arial" w:cs="Arial"/>
          <w:kern w:val="0"/>
          <w:sz w:val="24"/>
          <w:szCs w:val="24"/>
          <w:lang w:eastAsia="en-GB"/>
          <w14:ligatures w14:val="none"/>
        </w:rPr>
        <w:t xml:space="preserve"> </w:t>
      </w:r>
    </w:p>
    <w:p w14:paraId="62B5EBCB"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xml:space="preserve">Where primary care clinicians have concerns about individual patient </w:t>
      </w:r>
      <w:proofErr w:type="gramStart"/>
      <w:r w:rsidRPr="00D72822">
        <w:rPr>
          <w:rFonts w:ascii="Arial" w:eastAsia="Times New Roman" w:hAnsi="Arial" w:cs="Arial"/>
          <w:kern w:val="0"/>
          <w:sz w:val="24"/>
          <w:szCs w:val="24"/>
          <w:lang w:eastAsia="en-GB"/>
          <w14:ligatures w14:val="none"/>
        </w:rPr>
        <w:t>management</w:t>
      </w:r>
      <w:proofErr w:type="gramEnd"/>
      <w:r w:rsidRPr="00D72822">
        <w:rPr>
          <w:rFonts w:ascii="Arial" w:eastAsia="Times New Roman" w:hAnsi="Arial" w:cs="Arial"/>
          <w:kern w:val="0"/>
          <w:sz w:val="24"/>
          <w:szCs w:val="24"/>
          <w:lang w:eastAsia="en-GB"/>
          <w14:ligatures w14:val="none"/>
        </w:rPr>
        <w:t xml:space="preserve"> they should contact specialist services for advice and guidance. </w:t>
      </w:r>
      <w:proofErr w:type="gramStart"/>
      <w:r w:rsidRPr="00D72822">
        <w:rPr>
          <w:rFonts w:ascii="Arial" w:eastAsia="Times New Roman" w:hAnsi="Arial" w:cs="Arial"/>
          <w:kern w:val="0"/>
          <w:sz w:val="24"/>
          <w:szCs w:val="24"/>
          <w:lang w:eastAsia="en-GB"/>
          <w14:ligatures w14:val="none"/>
        </w:rPr>
        <w:t>e.g.</w:t>
      </w:r>
      <w:proofErr w:type="gramEnd"/>
      <w:r w:rsidRPr="00D72822">
        <w:rPr>
          <w:rFonts w:ascii="Arial" w:eastAsia="Times New Roman" w:hAnsi="Arial" w:cs="Arial"/>
          <w:kern w:val="0"/>
          <w:sz w:val="24"/>
          <w:szCs w:val="24"/>
          <w:lang w:eastAsia="en-GB"/>
          <w14:ligatures w14:val="none"/>
        </w:rPr>
        <w:t xml:space="preserve"> management of patients at risk from severe symptoms following withdrawal. Many patients in Leeds will be under Shared Care agreements with other providers. LYPFT only provides patient specific guidance for those patients under the Leeds service. For those patients under Shared Care with other providers we ask that you revert to that provider for advice and guidance.</w:t>
      </w:r>
    </w:p>
    <w:p w14:paraId="7823C22E"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0EDD4D15"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xml:space="preserve">Primary care clinicians must be aware that the ability of specialist services to assist will be limited by both capacity and limited pharmacological options. The specialist team will only be able to review patients who are under Shared Care with NHS services (if Shared Care is with a private provider, then revert to them for guidance) and for those who the absence of medication would be </w:t>
      </w:r>
      <w:r w:rsidRPr="00D72822">
        <w:rPr>
          <w:rFonts w:ascii="Arial" w:eastAsia="Times New Roman" w:hAnsi="Arial" w:cs="Arial"/>
          <w:kern w:val="0"/>
          <w:sz w:val="24"/>
          <w:szCs w:val="24"/>
          <w:lang w:eastAsia="en-GB"/>
          <w14:ligatures w14:val="none"/>
        </w:rPr>
        <w:lastRenderedPageBreak/>
        <w:t>expected to result in a significant risk or harm to themselves or others (e.g. serious self-harm, severe aggression leading to injuries or the Police being called).</w:t>
      </w:r>
    </w:p>
    <w:p w14:paraId="5AE2E788"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p>
    <w:p w14:paraId="4DD9427E" w14:textId="77777777" w:rsidR="00A93D96" w:rsidRPr="00D72822" w:rsidRDefault="00A93D96" w:rsidP="00A93D96">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t xml:space="preserve">Referrals for supply should </w:t>
      </w:r>
      <w:r w:rsidRPr="00D72822">
        <w:rPr>
          <w:rFonts w:ascii="Arial" w:eastAsia="Times New Roman" w:hAnsi="Arial" w:cs="Arial"/>
          <w:b/>
          <w:bCs/>
          <w:kern w:val="0"/>
          <w:sz w:val="24"/>
          <w:szCs w:val="24"/>
          <w:lang w:eastAsia="en-GB"/>
          <w14:ligatures w14:val="none"/>
        </w:rPr>
        <w:t>not</w:t>
      </w:r>
      <w:r w:rsidRPr="00D72822">
        <w:rPr>
          <w:rFonts w:ascii="Arial" w:eastAsia="Times New Roman" w:hAnsi="Arial" w:cs="Arial"/>
          <w:kern w:val="0"/>
          <w:sz w:val="24"/>
          <w:szCs w:val="24"/>
          <w:lang w:eastAsia="en-GB"/>
          <w14:ligatures w14:val="none"/>
        </w:rPr>
        <w:t xml:space="preserve"> be made as hospitals do not have access to additional supplies of these medicines.  </w:t>
      </w:r>
    </w:p>
    <w:p w14:paraId="22D8BFCE" w14:textId="42EDD850" w:rsidR="00D72822" w:rsidRPr="00D72822" w:rsidRDefault="00D72822">
      <w:pPr>
        <w:spacing w:after="0" w:line="240" w:lineRule="auto"/>
        <w:rPr>
          <w:rFonts w:ascii="Arial" w:eastAsia="Times New Roman" w:hAnsi="Arial" w:cs="Arial"/>
          <w:kern w:val="0"/>
          <w:sz w:val="24"/>
          <w:szCs w:val="24"/>
          <w:lang w:eastAsia="en-GB"/>
          <w14:ligatures w14:val="none"/>
        </w:rPr>
      </w:pPr>
      <w:r w:rsidRPr="00D72822">
        <w:rPr>
          <w:rFonts w:ascii="Arial" w:eastAsia="Times New Roman" w:hAnsi="Arial" w:cs="Arial"/>
          <w:kern w:val="0"/>
          <w:sz w:val="24"/>
          <w:szCs w:val="24"/>
          <w:lang w:eastAsia="en-GB"/>
          <w14:ligatures w14:val="none"/>
        </w:rPr>
        <w:br w:type="page"/>
      </w:r>
    </w:p>
    <w:p w14:paraId="036FB9CA" w14:textId="30BBC4DC" w:rsidR="00A93D96" w:rsidRPr="00D72822" w:rsidRDefault="00D72822" w:rsidP="00D72822">
      <w:pPr>
        <w:pStyle w:val="Heading1"/>
        <w:rPr>
          <w:rFonts w:ascii="Arial" w:hAnsi="Arial" w:cs="Arial"/>
          <w:b/>
          <w:bCs/>
        </w:rPr>
      </w:pPr>
      <w:r w:rsidRPr="00D72822">
        <w:rPr>
          <w:rFonts w:ascii="Arial" w:hAnsi="Arial" w:cs="Arial"/>
          <w:b/>
          <w:bCs/>
        </w:rPr>
        <w:lastRenderedPageBreak/>
        <w:t>Guidance On Alternatives, Switching, And Reinitiation</w:t>
      </w:r>
    </w:p>
    <w:p w14:paraId="70373B58" w14:textId="77777777" w:rsidR="00A93D96" w:rsidRPr="00D72822" w:rsidRDefault="00A93D96" w:rsidP="00A93D96">
      <w:pPr>
        <w:keepNext/>
        <w:keepLines/>
        <w:spacing w:after="0"/>
        <w:ind w:left="-5" w:hanging="10"/>
        <w:jc w:val="center"/>
        <w:outlineLvl w:val="0"/>
        <w:rPr>
          <w:rFonts w:ascii="Arial" w:eastAsia="Calibri" w:hAnsi="Arial" w:cs="Arial"/>
          <w:b/>
          <w:bCs/>
          <w:color w:val="000000"/>
          <w:sz w:val="24"/>
          <w:szCs w:val="24"/>
          <w:lang w:eastAsia="en-GB"/>
        </w:rPr>
      </w:pPr>
    </w:p>
    <w:p w14:paraId="11EC8B51" w14:textId="77777777" w:rsidR="00A93D96" w:rsidRPr="00D72822" w:rsidRDefault="00A93D96" w:rsidP="00D72822">
      <w:pPr>
        <w:keepNext/>
        <w:keepLines/>
        <w:spacing w:after="0"/>
        <w:ind w:left="-5" w:hanging="10"/>
        <w:outlineLvl w:val="0"/>
        <w:rPr>
          <w:rFonts w:ascii="Arial" w:eastAsia="Calibri" w:hAnsi="Arial" w:cs="Arial"/>
          <w:b/>
          <w:bCs/>
          <w:color w:val="000000"/>
          <w:sz w:val="28"/>
          <w:szCs w:val="28"/>
          <w:lang w:eastAsia="en-GB"/>
        </w:rPr>
      </w:pPr>
      <w:r w:rsidRPr="00D72822">
        <w:rPr>
          <w:rFonts w:ascii="Arial" w:eastAsia="Calibri" w:hAnsi="Arial" w:cs="Arial"/>
          <w:b/>
          <w:bCs/>
          <w:color w:val="000000"/>
          <w:sz w:val="28"/>
          <w:szCs w:val="28"/>
          <w:lang w:eastAsia="en-GB"/>
        </w:rPr>
        <w:t>Methylphenidate: Product specific guidance</w:t>
      </w:r>
    </w:p>
    <w:p w14:paraId="412A5819" w14:textId="77777777" w:rsidR="00D72822" w:rsidRPr="00D72822" w:rsidRDefault="00D72822" w:rsidP="00D72822">
      <w:pPr>
        <w:keepNext/>
        <w:keepLines/>
        <w:spacing w:after="0"/>
        <w:ind w:left="-5" w:hanging="10"/>
        <w:outlineLvl w:val="0"/>
        <w:rPr>
          <w:rFonts w:ascii="Arial" w:eastAsia="Calibri" w:hAnsi="Arial" w:cs="Arial"/>
          <w:b/>
          <w:bCs/>
          <w:color w:val="000000"/>
          <w:sz w:val="24"/>
          <w:szCs w:val="24"/>
          <w:lang w:eastAsia="en-GB"/>
        </w:rPr>
      </w:pPr>
    </w:p>
    <w:p w14:paraId="3AA96F14" w14:textId="77777777" w:rsidR="00A93D96" w:rsidRPr="00D72822" w:rsidRDefault="00A93D96" w:rsidP="00A93D96">
      <w:pPr>
        <w:spacing w:after="24"/>
        <w:rPr>
          <w:rFonts w:ascii="Arial" w:hAnsi="Arial" w:cs="Arial"/>
          <w:kern w:val="0"/>
          <w:sz w:val="24"/>
          <w:szCs w:val="24"/>
          <w14:ligatures w14:val="none"/>
        </w:rPr>
      </w:pPr>
      <w:r w:rsidRPr="00D72822">
        <w:rPr>
          <w:rFonts w:ascii="Arial" w:hAnsi="Arial" w:cs="Arial"/>
          <w:kern w:val="0"/>
          <w:sz w:val="24"/>
          <w:szCs w:val="24"/>
          <w14:ligatures w14:val="none"/>
        </w:rPr>
        <w:t xml:space="preserve"> </w:t>
      </w:r>
    </w:p>
    <w:tbl>
      <w:tblPr>
        <w:tblStyle w:val="TableGrid0"/>
        <w:tblW w:w="5000" w:type="pct"/>
        <w:jc w:val="center"/>
        <w:tblInd w:w="0" w:type="dxa"/>
        <w:tblCellMar>
          <w:top w:w="47" w:type="dxa"/>
          <w:left w:w="108" w:type="dxa"/>
          <w:right w:w="59" w:type="dxa"/>
        </w:tblCellMar>
        <w:tblLook w:val="04A0" w:firstRow="1" w:lastRow="0" w:firstColumn="1" w:lastColumn="0" w:noHBand="0" w:noVBand="1"/>
      </w:tblPr>
      <w:tblGrid>
        <w:gridCol w:w="3539"/>
        <w:gridCol w:w="6939"/>
      </w:tblGrid>
      <w:tr w:rsidR="00A93D96" w:rsidRPr="00D72822" w14:paraId="3C26A53E" w14:textId="77777777" w:rsidTr="00D72822">
        <w:trPr>
          <w:trHeight w:val="278"/>
          <w:jc w:val="center"/>
        </w:trPr>
        <w:tc>
          <w:tcPr>
            <w:tcW w:w="1689" w:type="pct"/>
            <w:tcBorders>
              <w:top w:val="single" w:sz="4" w:space="0" w:color="000000"/>
              <w:left w:val="single" w:sz="4" w:space="0" w:color="000000"/>
              <w:bottom w:val="single" w:sz="4" w:space="0" w:color="000000"/>
              <w:right w:val="single" w:sz="4" w:space="0" w:color="000000"/>
            </w:tcBorders>
          </w:tcPr>
          <w:p w14:paraId="11172524"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 xml:space="preserve">Preparation affected by shortage </w:t>
            </w:r>
          </w:p>
        </w:tc>
        <w:tc>
          <w:tcPr>
            <w:tcW w:w="3311" w:type="pct"/>
            <w:tcBorders>
              <w:top w:val="single" w:sz="4" w:space="0" w:color="000000"/>
              <w:left w:val="single" w:sz="4" w:space="0" w:color="000000"/>
              <w:bottom w:val="single" w:sz="4" w:space="0" w:color="000000"/>
              <w:right w:val="single" w:sz="4" w:space="0" w:color="000000"/>
            </w:tcBorders>
          </w:tcPr>
          <w:p w14:paraId="3FF88582"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 xml:space="preserve">Switch options </w:t>
            </w:r>
          </w:p>
        </w:tc>
      </w:tr>
      <w:tr w:rsidR="00A93D96" w:rsidRPr="00D72822" w14:paraId="3C674FB4" w14:textId="77777777" w:rsidTr="00D72822">
        <w:trPr>
          <w:trHeight w:val="547"/>
          <w:jc w:val="center"/>
        </w:trPr>
        <w:tc>
          <w:tcPr>
            <w:tcW w:w="1689" w:type="pct"/>
            <w:tcBorders>
              <w:top w:val="single" w:sz="4" w:space="0" w:color="000000"/>
              <w:left w:val="single" w:sz="4" w:space="0" w:color="000000"/>
              <w:bottom w:val="single" w:sz="4" w:space="0" w:color="000000"/>
              <w:right w:val="single" w:sz="4" w:space="0" w:color="000000"/>
            </w:tcBorders>
          </w:tcPr>
          <w:p w14:paraId="319E0D45" w14:textId="77777777" w:rsidR="00A93D96" w:rsidRPr="00D72822" w:rsidRDefault="00A93D96" w:rsidP="00A93D96">
            <w:pPr>
              <w:rPr>
                <w:rFonts w:ascii="Arial" w:hAnsi="Arial" w:cs="Arial"/>
                <w:sz w:val="24"/>
                <w:szCs w:val="24"/>
              </w:rPr>
            </w:pPr>
            <w:r w:rsidRPr="00D72822">
              <w:rPr>
                <w:rFonts w:ascii="Arial" w:hAnsi="Arial" w:cs="Arial"/>
                <w:sz w:val="24"/>
                <w:szCs w:val="24"/>
              </w:rPr>
              <w:t>Equasym XL</w:t>
            </w:r>
            <w:r w:rsidRPr="00D72822">
              <w:rPr>
                <w:rFonts w:ascii="Arial" w:hAnsi="Arial" w:cs="Arial"/>
                <w:sz w:val="24"/>
                <w:szCs w:val="24"/>
                <w:vertAlign w:val="superscript"/>
              </w:rPr>
              <w:t>®</w:t>
            </w:r>
            <w:r w:rsidRPr="00D72822">
              <w:rPr>
                <w:rFonts w:ascii="Arial" w:hAnsi="Arial" w:cs="Arial"/>
                <w:sz w:val="24"/>
                <w:szCs w:val="24"/>
              </w:rPr>
              <w:t xml:space="preserve"> 10, 20, and 30mg capsules </w:t>
            </w:r>
          </w:p>
        </w:tc>
        <w:tc>
          <w:tcPr>
            <w:tcW w:w="3311" w:type="pct"/>
            <w:tcBorders>
              <w:top w:val="single" w:sz="4" w:space="0" w:color="000000"/>
              <w:left w:val="single" w:sz="4" w:space="0" w:color="000000"/>
              <w:bottom w:val="single" w:sz="4" w:space="0" w:color="000000"/>
              <w:right w:val="single" w:sz="4" w:space="0" w:color="000000"/>
            </w:tcBorders>
          </w:tcPr>
          <w:p w14:paraId="176FF06D" w14:textId="77777777" w:rsidR="00A93D96" w:rsidRPr="00D72822" w:rsidRDefault="00A93D96" w:rsidP="00A93D96">
            <w:pPr>
              <w:spacing w:after="200" w:line="276" w:lineRule="auto"/>
              <w:rPr>
                <w:rFonts w:ascii="Arial" w:hAnsi="Arial" w:cs="Arial"/>
                <w:sz w:val="24"/>
                <w:szCs w:val="24"/>
              </w:rPr>
            </w:pPr>
            <w:r w:rsidRPr="00D72822">
              <w:rPr>
                <w:rFonts w:ascii="Arial" w:hAnsi="Arial" w:cs="Arial"/>
                <w:sz w:val="24"/>
                <w:szCs w:val="24"/>
              </w:rPr>
              <w:t>Limited parallel imports of methylphenidate (Equasym XL) modified release capsules remain available but cannot support an uplift in demand. There is no bioequivalent, but the dose can be converted to another long-acting methylphenidate preparation (see below).</w:t>
            </w:r>
          </w:p>
        </w:tc>
      </w:tr>
      <w:tr w:rsidR="00A93D96" w:rsidRPr="00D72822" w14:paraId="0873B42E" w14:textId="77777777" w:rsidTr="00D72822">
        <w:trPr>
          <w:trHeight w:val="1354"/>
          <w:jc w:val="center"/>
        </w:trPr>
        <w:tc>
          <w:tcPr>
            <w:tcW w:w="1689" w:type="pct"/>
            <w:tcBorders>
              <w:top w:val="single" w:sz="4" w:space="0" w:color="000000"/>
              <w:left w:val="single" w:sz="4" w:space="0" w:color="000000"/>
              <w:bottom w:val="single" w:sz="4" w:space="0" w:color="000000"/>
              <w:right w:val="single" w:sz="4" w:space="0" w:color="000000"/>
            </w:tcBorders>
          </w:tcPr>
          <w:p w14:paraId="62697884" w14:textId="77777777" w:rsidR="00A93D96" w:rsidRPr="00D72822" w:rsidRDefault="00A93D96" w:rsidP="00A93D96">
            <w:pPr>
              <w:rPr>
                <w:rFonts w:ascii="Arial" w:hAnsi="Arial" w:cs="Arial"/>
                <w:sz w:val="24"/>
                <w:szCs w:val="24"/>
              </w:rPr>
            </w:pPr>
            <w:r w:rsidRPr="00D72822">
              <w:rPr>
                <w:rFonts w:ascii="Arial" w:hAnsi="Arial" w:cs="Arial"/>
                <w:sz w:val="24"/>
                <w:szCs w:val="24"/>
              </w:rPr>
              <w:t>Xaggitin XL</w:t>
            </w:r>
            <w:r w:rsidRPr="00D72822">
              <w:rPr>
                <w:rFonts w:ascii="Arial" w:hAnsi="Arial" w:cs="Arial"/>
                <w:sz w:val="24"/>
                <w:szCs w:val="24"/>
                <w:vertAlign w:val="superscript"/>
              </w:rPr>
              <w:t>®</w:t>
            </w:r>
            <w:r w:rsidRPr="00D72822">
              <w:rPr>
                <w:rFonts w:ascii="Arial" w:hAnsi="Arial" w:cs="Arial"/>
                <w:sz w:val="24"/>
                <w:szCs w:val="24"/>
              </w:rPr>
              <w:t xml:space="preserve"> 18 and 36mg prolonged-release tablets </w:t>
            </w:r>
          </w:p>
        </w:tc>
        <w:tc>
          <w:tcPr>
            <w:tcW w:w="3311" w:type="pct"/>
            <w:tcBorders>
              <w:top w:val="single" w:sz="4" w:space="0" w:color="000000"/>
              <w:left w:val="single" w:sz="4" w:space="0" w:color="000000"/>
              <w:bottom w:val="single" w:sz="4" w:space="0" w:color="000000"/>
              <w:right w:val="single" w:sz="4" w:space="0" w:color="000000"/>
            </w:tcBorders>
          </w:tcPr>
          <w:p w14:paraId="03414EC7" w14:textId="77777777" w:rsidR="00A93D96" w:rsidRPr="00D72822" w:rsidRDefault="00A93D96" w:rsidP="00A93D96">
            <w:pPr>
              <w:rPr>
                <w:rFonts w:ascii="Arial" w:hAnsi="Arial" w:cs="Arial"/>
                <w:sz w:val="24"/>
                <w:szCs w:val="24"/>
              </w:rPr>
            </w:pPr>
            <w:r w:rsidRPr="00D72822">
              <w:rPr>
                <w:rFonts w:ascii="Arial" w:hAnsi="Arial" w:cs="Arial"/>
                <w:sz w:val="24"/>
                <w:szCs w:val="24"/>
              </w:rPr>
              <w:t>Affenid XL</w:t>
            </w:r>
            <w:r w:rsidRPr="00D72822">
              <w:rPr>
                <w:rFonts w:ascii="Arial" w:hAnsi="Arial" w:cs="Arial"/>
                <w:sz w:val="24"/>
                <w:szCs w:val="24"/>
                <w:vertAlign w:val="superscript"/>
              </w:rPr>
              <w:t>®</w:t>
            </w:r>
            <w:r w:rsidRPr="00D72822">
              <w:rPr>
                <w:rFonts w:ascii="Arial" w:hAnsi="Arial" w:cs="Arial"/>
                <w:sz w:val="24"/>
                <w:szCs w:val="24"/>
              </w:rPr>
              <w:t xml:space="preserve"> </w:t>
            </w:r>
          </w:p>
          <w:p w14:paraId="7B77CE34" w14:textId="77777777" w:rsidR="00A93D96" w:rsidRPr="00D72822" w:rsidRDefault="00A93D96" w:rsidP="00A93D96">
            <w:pPr>
              <w:rPr>
                <w:rFonts w:ascii="Arial" w:hAnsi="Arial" w:cs="Arial"/>
                <w:sz w:val="24"/>
                <w:szCs w:val="24"/>
              </w:rPr>
            </w:pPr>
            <w:r w:rsidRPr="00D72822">
              <w:rPr>
                <w:rFonts w:ascii="Arial" w:hAnsi="Arial" w:cs="Arial"/>
                <w:sz w:val="24"/>
                <w:szCs w:val="24"/>
              </w:rPr>
              <w:t>Concerta XL</w:t>
            </w:r>
            <w:r w:rsidRPr="00D72822">
              <w:rPr>
                <w:rFonts w:ascii="Arial" w:hAnsi="Arial" w:cs="Arial"/>
                <w:sz w:val="24"/>
                <w:szCs w:val="24"/>
                <w:vertAlign w:val="superscript"/>
              </w:rPr>
              <w:t>®</w:t>
            </w:r>
            <w:r w:rsidRPr="00D72822">
              <w:rPr>
                <w:rFonts w:ascii="Arial" w:hAnsi="Arial" w:cs="Arial"/>
                <w:sz w:val="24"/>
                <w:szCs w:val="24"/>
              </w:rPr>
              <w:t xml:space="preserve"> </w:t>
            </w:r>
          </w:p>
          <w:p w14:paraId="3E2E9DA6" w14:textId="77777777" w:rsidR="00A93D96" w:rsidRPr="00D72822" w:rsidRDefault="00A93D96" w:rsidP="00A93D96">
            <w:pPr>
              <w:rPr>
                <w:rFonts w:ascii="Arial" w:hAnsi="Arial" w:cs="Arial"/>
                <w:sz w:val="24"/>
                <w:szCs w:val="24"/>
              </w:rPr>
            </w:pPr>
            <w:r w:rsidRPr="00D72822">
              <w:rPr>
                <w:rFonts w:ascii="Arial" w:hAnsi="Arial" w:cs="Arial"/>
                <w:sz w:val="24"/>
                <w:szCs w:val="24"/>
              </w:rPr>
              <w:t>Delmosart XL</w:t>
            </w:r>
            <w:r w:rsidRPr="00D72822">
              <w:rPr>
                <w:rFonts w:ascii="Arial" w:hAnsi="Arial" w:cs="Arial"/>
                <w:sz w:val="24"/>
                <w:szCs w:val="24"/>
                <w:vertAlign w:val="superscript"/>
              </w:rPr>
              <w:t>®</w:t>
            </w:r>
            <w:r w:rsidRPr="00D72822">
              <w:rPr>
                <w:rFonts w:ascii="Arial" w:hAnsi="Arial" w:cs="Arial"/>
                <w:sz w:val="24"/>
                <w:szCs w:val="24"/>
              </w:rPr>
              <w:t xml:space="preserve"> </w:t>
            </w:r>
          </w:p>
          <w:p w14:paraId="1D62C458" w14:textId="77777777" w:rsidR="00A93D96" w:rsidRPr="00D72822" w:rsidRDefault="00A93D96" w:rsidP="00A93D96">
            <w:pPr>
              <w:rPr>
                <w:rFonts w:ascii="Arial" w:hAnsi="Arial" w:cs="Arial"/>
                <w:sz w:val="24"/>
                <w:szCs w:val="24"/>
              </w:rPr>
            </w:pPr>
            <w:r w:rsidRPr="00D72822">
              <w:rPr>
                <w:rFonts w:ascii="Arial" w:hAnsi="Arial" w:cs="Arial"/>
                <w:sz w:val="24"/>
                <w:szCs w:val="24"/>
              </w:rPr>
              <w:t>Matoride XL</w:t>
            </w:r>
            <w:r w:rsidRPr="00D72822">
              <w:rPr>
                <w:rFonts w:ascii="Arial" w:hAnsi="Arial" w:cs="Arial"/>
                <w:sz w:val="24"/>
                <w:szCs w:val="24"/>
                <w:vertAlign w:val="superscript"/>
              </w:rPr>
              <w:t>®</w:t>
            </w:r>
            <w:r w:rsidRPr="00D72822">
              <w:rPr>
                <w:rFonts w:ascii="Arial" w:hAnsi="Arial" w:cs="Arial"/>
                <w:sz w:val="24"/>
                <w:szCs w:val="24"/>
              </w:rPr>
              <w:t xml:space="preserve"> </w:t>
            </w:r>
          </w:p>
          <w:p w14:paraId="7113320B" w14:textId="77777777" w:rsidR="00A93D96" w:rsidRPr="00D72822" w:rsidRDefault="00A93D96" w:rsidP="00A93D96">
            <w:pPr>
              <w:rPr>
                <w:rFonts w:ascii="Arial" w:hAnsi="Arial" w:cs="Arial"/>
                <w:sz w:val="24"/>
                <w:szCs w:val="24"/>
              </w:rPr>
            </w:pPr>
            <w:r w:rsidRPr="00D72822">
              <w:rPr>
                <w:rFonts w:ascii="Arial" w:hAnsi="Arial" w:cs="Arial"/>
                <w:sz w:val="24"/>
                <w:szCs w:val="24"/>
              </w:rPr>
              <w:t>Xenidate XL</w:t>
            </w:r>
            <w:r w:rsidRPr="00D72822">
              <w:rPr>
                <w:rFonts w:ascii="Arial" w:hAnsi="Arial" w:cs="Arial"/>
                <w:sz w:val="24"/>
                <w:szCs w:val="24"/>
                <w:vertAlign w:val="superscript"/>
              </w:rPr>
              <w:t>®</w:t>
            </w:r>
            <w:r w:rsidRPr="00D72822">
              <w:rPr>
                <w:rFonts w:ascii="Arial" w:hAnsi="Arial" w:cs="Arial"/>
                <w:sz w:val="24"/>
                <w:szCs w:val="24"/>
              </w:rPr>
              <w:t xml:space="preserve"> </w:t>
            </w:r>
          </w:p>
        </w:tc>
      </w:tr>
      <w:tr w:rsidR="00A93D96" w:rsidRPr="00D72822" w14:paraId="5F5E1D80" w14:textId="77777777" w:rsidTr="00D72822">
        <w:trPr>
          <w:trHeight w:val="1354"/>
          <w:jc w:val="center"/>
        </w:trPr>
        <w:tc>
          <w:tcPr>
            <w:tcW w:w="1689" w:type="pct"/>
            <w:tcBorders>
              <w:top w:val="single" w:sz="4" w:space="0" w:color="000000"/>
              <w:left w:val="single" w:sz="4" w:space="0" w:color="000000"/>
              <w:bottom w:val="single" w:sz="4" w:space="0" w:color="000000"/>
              <w:right w:val="single" w:sz="4" w:space="0" w:color="000000"/>
            </w:tcBorders>
          </w:tcPr>
          <w:p w14:paraId="59D3F6A4" w14:textId="77777777" w:rsidR="00A93D96" w:rsidRPr="00D72822" w:rsidRDefault="00A93D96" w:rsidP="00A93D96">
            <w:pPr>
              <w:rPr>
                <w:rFonts w:ascii="Arial" w:hAnsi="Arial" w:cs="Arial"/>
                <w:sz w:val="24"/>
                <w:szCs w:val="24"/>
              </w:rPr>
            </w:pPr>
            <w:r w:rsidRPr="00D72822">
              <w:rPr>
                <w:rFonts w:ascii="Arial" w:hAnsi="Arial" w:cs="Arial"/>
                <w:sz w:val="24"/>
                <w:szCs w:val="24"/>
              </w:rPr>
              <w:t>Concerta XL</w:t>
            </w:r>
            <w:r w:rsidRPr="00D72822">
              <w:rPr>
                <w:rFonts w:ascii="Arial" w:hAnsi="Arial" w:cs="Arial"/>
                <w:sz w:val="24"/>
                <w:szCs w:val="24"/>
                <w:vertAlign w:val="superscript"/>
              </w:rPr>
              <w:t>®</w:t>
            </w:r>
            <w:r w:rsidRPr="00D72822">
              <w:rPr>
                <w:rFonts w:ascii="Arial" w:hAnsi="Arial" w:cs="Arial"/>
                <w:sz w:val="24"/>
                <w:szCs w:val="24"/>
              </w:rPr>
              <w:t xml:space="preserve"> 54mg prolonged-release tablets </w:t>
            </w:r>
          </w:p>
        </w:tc>
        <w:tc>
          <w:tcPr>
            <w:tcW w:w="3311" w:type="pct"/>
            <w:tcBorders>
              <w:top w:val="single" w:sz="4" w:space="0" w:color="000000"/>
              <w:left w:val="single" w:sz="4" w:space="0" w:color="000000"/>
              <w:bottom w:val="single" w:sz="4" w:space="0" w:color="000000"/>
              <w:right w:val="single" w:sz="4" w:space="0" w:color="000000"/>
            </w:tcBorders>
          </w:tcPr>
          <w:p w14:paraId="33A9D8AE" w14:textId="77777777" w:rsidR="00A93D96" w:rsidRPr="00D72822" w:rsidRDefault="00A93D96" w:rsidP="00A93D96">
            <w:pPr>
              <w:rPr>
                <w:rFonts w:ascii="Arial" w:hAnsi="Arial" w:cs="Arial"/>
                <w:sz w:val="24"/>
                <w:szCs w:val="24"/>
              </w:rPr>
            </w:pPr>
            <w:r w:rsidRPr="00D72822">
              <w:rPr>
                <w:rFonts w:ascii="Arial" w:hAnsi="Arial" w:cs="Arial"/>
                <w:sz w:val="24"/>
                <w:szCs w:val="24"/>
              </w:rPr>
              <w:t>Affenid XL</w:t>
            </w:r>
            <w:r w:rsidRPr="00D72822">
              <w:rPr>
                <w:rFonts w:ascii="Arial" w:hAnsi="Arial" w:cs="Arial"/>
                <w:sz w:val="24"/>
                <w:szCs w:val="24"/>
                <w:vertAlign w:val="superscript"/>
              </w:rPr>
              <w:t>®</w:t>
            </w:r>
            <w:r w:rsidRPr="00D72822">
              <w:rPr>
                <w:rFonts w:ascii="Arial" w:hAnsi="Arial" w:cs="Arial"/>
                <w:sz w:val="24"/>
                <w:szCs w:val="24"/>
              </w:rPr>
              <w:t xml:space="preserve"> </w:t>
            </w:r>
          </w:p>
          <w:p w14:paraId="15EA62A8" w14:textId="77777777" w:rsidR="00A93D96" w:rsidRPr="00D72822" w:rsidRDefault="00A93D96" w:rsidP="00A93D96">
            <w:pPr>
              <w:rPr>
                <w:rFonts w:ascii="Arial" w:hAnsi="Arial" w:cs="Arial"/>
                <w:sz w:val="24"/>
                <w:szCs w:val="24"/>
              </w:rPr>
            </w:pPr>
            <w:r w:rsidRPr="00D72822">
              <w:rPr>
                <w:rFonts w:ascii="Arial" w:hAnsi="Arial" w:cs="Arial"/>
                <w:sz w:val="24"/>
                <w:szCs w:val="24"/>
              </w:rPr>
              <w:t>Delmosart XL</w:t>
            </w:r>
            <w:r w:rsidRPr="00D72822">
              <w:rPr>
                <w:rFonts w:ascii="Arial" w:hAnsi="Arial" w:cs="Arial"/>
                <w:sz w:val="24"/>
                <w:szCs w:val="24"/>
                <w:vertAlign w:val="superscript"/>
              </w:rPr>
              <w:t xml:space="preserve">® </w:t>
            </w:r>
          </w:p>
          <w:p w14:paraId="5BD77988" w14:textId="77777777" w:rsidR="00A93D96" w:rsidRPr="00D72822" w:rsidRDefault="00A93D96" w:rsidP="00A93D96">
            <w:pPr>
              <w:rPr>
                <w:rFonts w:ascii="Arial" w:hAnsi="Arial" w:cs="Arial"/>
                <w:sz w:val="24"/>
                <w:szCs w:val="24"/>
              </w:rPr>
            </w:pPr>
            <w:r w:rsidRPr="00D72822">
              <w:rPr>
                <w:rFonts w:ascii="Arial" w:hAnsi="Arial" w:cs="Arial"/>
                <w:sz w:val="24"/>
                <w:szCs w:val="24"/>
              </w:rPr>
              <w:t>Matoride XL</w:t>
            </w:r>
            <w:r w:rsidRPr="00D72822">
              <w:rPr>
                <w:rFonts w:ascii="Arial" w:hAnsi="Arial" w:cs="Arial"/>
                <w:sz w:val="24"/>
                <w:szCs w:val="24"/>
                <w:vertAlign w:val="superscript"/>
              </w:rPr>
              <w:t>®</w:t>
            </w:r>
            <w:r w:rsidRPr="00D72822">
              <w:rPr>
                <w:rFonts w:ascii="Arial" w:hAnsi="Arial" w:cs="Arial"/>
                <w:sz w:val="24"/>
                <w:szCs w:val="24"/>
              </w:rPr>
              <w:t xml:space="preserve"> </w:t>
            </w:r>
          </w:p>
          <w:p w14:paraId="745E4094" w14:textId="77777777" w:rsidR="00A93D96" w:rsidRPr="00D72822" w:rsidRDefault="00A93D96" w:rsidP="00A93D96">
            <w:pPr>
              <w:rPr>
                <w:rFonts w:ascii="Arial" w:hAnsi="Arial" w:cs="Arial"/>
                <w:sz w:val="24"/>
                <w:szCs w:val="24"/>
              </w:rPr>
            </w:pPr>
            <w:r w:rsidRPr="00D72822">
              <w:rPr>
                <w:rFonts w:ascii="Arial" w:hAnsi="Arial" w:cs="Arial"/>
                <w:sz w:val="24"/>
                <w:szCs w:val="24"/>
              </w:rPr>
              <w:t>Xaggitin XL</w:t>
            </w:r>
            <w:r w:rsidRPr="00D72822">
              <w:rPr>
                <w:rFonts w:ascii="Arial" w:hAnsi="Arial" w:cs="Arial"/>
                <w:sz w:val="24"/>
                <w:szCs w:val="24"/>
                <w:vertAlign w:val="superscript"/>
              </w:rPr>
              <w:t>®</w:t>
            </w:r>
            <w:r w:rsidRPr="00D72822">
              <w:rPr>
                <w:rFonts w:ascii="Arial" w:hAnsi="Arial" w:cs="Arial"/>
                <w:sz w:val="24"/>
                <w:szCs w:val="24"/>
              </w:rPr>
              <w:t xml:space="preserve"> </w:t>
            </w:r>
          </w:p>
          <w:p w14:paraId="5EE0565D" w14:textId="77777777" w:rsidR="00A93D96" w:rsidRPr="00D72822" w:rsidRDefault="00A93D96" w:rsidP="00A93D96">
            <w:pPr>
              <w:rPr>
                <w:rFonts w:ascii="Arial" w:hAnsi="Arial" w:cs="Arial"/>
                <w:sz w:val="24"/>
                <w:szCs w:val="24"/>
              </w:rPr>
            </w:pPr>
            <w:r w:rsidRPr="00D72822">
              <w:rPr>
                <w:rFonts w:ascii="Arial" w:hAnsi="Arial" w:cs="Arial"/>
                <w:sz w:val="24"/>
                <w:szCs w:val="24"/>
              </w:rPr>
              <w:t>Xenidate XL</w:t>
            </w:r>
            <w:r w:rsidRPr="00D72822">
              <w:rPr>
                <w:rFonts w:ascii="Arial" w:hAnsi="Arial" w:cs="Arial"/>
                <w:sz w:val="24"/>
                <w:szCs w:val="24"/>
                <w:vertAlign w:val="superscript"/>
              </w:rPr>
              <w:t>®</w:t>
            </w:r>
            <w:r w:rsidRPr="00D72822">
              <w:rPr>
                <w:rFonts w:ascii="Arial" w:hAnsi="Arial" w:cs="Arial"/>
                <w:sz w:val="24"/>
                <w:szCs w:val="24"/>
              </w:rPr>
              <w:t xml:space="preserve"> </w:t>
            </w:r>
          </w:p>
        </w:tc>
      </w:tr>
      <w:tr w:rsidR="00A93D96" w:rsidRPr="00D72822" w14:paraId="3BFEF3F9" w14:textId="77777777" w:rsidTr="00D72822">
        <w:trPr>
          <w:trHeight w:val="1085"/>
          <w:jc w:val="center"/>
        </w:trPr>
        <w:tc>
          <w:tcPr>
            <w:tcW w:w="1689" w:type="pct"/>
            <w:tcBorders>
              <w:top w:val="single" w:sz="4" w:space="0" w:color="000000"/>
              <w:left w:val="single" w:sz="4" w:space="0" w:color="000000"/>
              <w:bottom w:val="single" w:sz="4" w:space="0" w:color="000000"/>
              <w:right w:val="single" w:sz="4" w:space="0" w:color="000000"/>
            </w:tcBorders>
          </w:tcPr>
          <w:p w14:paraId="389EB109" w14:textId="77777777" w:rsidR="00A93D96" w:rsidRPr="00D72822" w:rsidRDefault="00A93D96" w:rsidP="00A93D96">
            <w:pPr>
              <w:rPr>
                <w:rFonts w:ascii="Arial" w:hAnsi="Arial" w:cs="Arial"/>
                <w:sz w:val="24"/>
                <w:szCs w:val="24"/>
              </w:rPr>
            </w:pPr>
            <w:r w:rsidRPr="00D72822">
              <w:rPr>
                <w:rFonts w:ascii="Arial" w:hAnsi="Arial" w:cs="Arial"/>
                <w:sz w:val="24"/>
                <w:szCs w:val="24"/>
              </w:rPr>
              <w:t>Xenidate XL</w:t>
            </w:r>
            <w:r w:rsidRPr="00D72822">
              <w:rPr>
                <w:rFonts w:ascii="Arial" w:hAnsi="Arial" w:cs="Arial"/>
                <w:sz w:val="24"/>
                <w:szCs w:val="24"/>
                <w:vertAlign w:val="superscript"/>
              </w:rPr>
              <w:t>®</w:t>
            </w:r>
            <w:r w:rsidRPr="00D72822">
              <w:rPr>
                <w:rFonts w:ascii="Arial" w:hAnsi="Arial" w:cs="Arial"/>
                <w:sz w:val="24"/>
                <w:szCs w:val="24"/>
              </w:rPr>
              <w:t xml:space="preserve"> 27mg prolonged-release tablets </w:t>
            </w:r>
          </w:p>
        </w:tc>
        <w:tc>
          <w:tcPr>
            <w:tcW w:w="3311" w:type="pct"/>
            <w:tcBorders>
              <w:top w:val="single" w:sz="4" w:space="0" w:color="000000"/>
              <w:left w:val="single" w:sz="4" w:space="0" w:color="000000"/>
              <w:bottom w:val="single" w:sz="4" w:space="0" w:color="000000"/>
              <w:right w:val="single" w:sz="4" w:space="0" w:color="000000"/>
            </w:tcBorders>
          </w:tcPr>
          <w:p w14:paraId="3AFA7193" w14:textId="77777777" w:rsidR="00A93D96" w:rsidRPr="00D72822" w:rsidRDefault="00A93D96" w:rsidP="00A93D96">
            <w:pPr>
              <w:rPr>
                <w:rFonts w:ascii="Arial" w:hAnsi="Arial" w:cs="Arial"/>
                <w:sz w:val="24"/>
                <w:szCs w:val="24"/>
              </w:rPr>
            </w:pPr>
            <w:r w:rsidRPr="00D72822">
              <w:rPr>
                <w:rFonts w:ascii="Arial" w:hAnsi="Arial" w:cs="Arial"/>
                <w:sz w:val="24"/>
                <w:szCs w:val="24"/>
              </w:rPr>
              <w:t>Affenid XL</w:t>
            </w:r>
            <w:r w:rsidRPr="00D72822">
              <w:rPr>
                <w:rFonts w:ascii="Arial" w:hAnsi="Arial" w:cs="Arial"/>
                <w:sz w:val="24"/>
                <w:szCs w:val="24"/>
                <w:vertAlign w:val="superscript"/>
              </w:rPr>
              <w:t>®</w:t>
            </w:r>
            <w:r w:rsidRPr="00D72822">
              <w:rPr>
                <w:rFonts w:ascii="Arial" w:hAnsi="Arial" w:cs="Arial"/>
                <w:sz w:val="24"/>
                <w:szCs w:val="24"/>
              </w:rPr>
              <w:t xml:space="preserve"> </w:t>
            </w:r>
          </w:p>
          <w:p w14:paraId="34E3DCEF" w14:textId="77777777" w:rsidR="00A93D96" w:rsidRPr="00D72822" w:rsidRDefault="00A93D96" w:rsidP="00A93D96">
            <w:pPr>
              <w:rPr>
                <w:rFonts w:ascii="Arial" w:hAnsi="Arial" w:cs="Arial"/>
                <w:sz w:val="24"/>
                <w:szCs w:val="24"/>
              </w:rPr>
            </w:pPr>
            <w:r w:rsidRPr="00D72822">
              <w:rPr>
                <w:rFonts w:ascii="Arial" w:hAnsi="Arial" w:cs="Arial"/>
                <w:sz w:val="24"/>
                <w:szCs w:val="24"/>
              </w:rPr>
              <w:t>Concerta XL</w:t>
            </w:r>
            <w:r w:rsidRPr="00D72822">
              <w:rPr>
                <w:rFonts w:ascii="Arial" w:hAnsi="Arial" w:cs="Arial"/>
                <w:sz w:val="24"/>
                <w:szCs w:val="24"/>
                <w:vertAlign w:val="superscript"/>
              </w:rPr>
              <w:t>®</w:t>
            </w:r>
            <w:r w:rsidRPr="00D72822">
              <w:rPr>
                <w:rFonts w:ascii="Arial" w:hAnsi="Arial" w:cs="Arial"/>
                <w:sz w:val="24"/>
                <w:szCs w:val="24"/>
              </w:rPr>
              <w:t xml:space="preserve"> </w:t>
            </w:r>
          </w:p>
          <w:p w14:paraId="249F9012" w14:textId="77777777" w:rsidR="00A93D96" w:rsidRPr="00D72822" w:rsidRDefault="00A93D96" w:rsidP="00A93D96">
            <w:pPr>
              <w:rPr>
                <w:rFonts w:ascii="Arial" w:hAnsi="Arial" w:cs="Arial"/>
                <w:sz w:val="24"/>
                <w:szCs w:val="24"/>
              </w:rPr>
            </w:pPr>
            <w:r w:rsidRPr="00D72822">
              <w:rPr>
                <w:rFonts w:ascii="Arial" w:hAnsi="Arial" w:cs="Arial"/>
                <w:sz w:val="24"/>
                <w:szCs w:val="24"/>
              </w:rPr>
              <w:t>Delmosart XL</w:t>
            </w:r>
            <w:r w:rsidRPr="00D72822">
              <w:rPr>
                <w:rFonts w:ascii="Arial" w:hAnsi="Arial" w:cs="Arial"/>
                <w:sz w:val="24"/>
                <w:szCs w:val="24"/>
                <w:vertAlign w:val="superscript"/>
              </w:rPr>
              <w:t>®</w:t>
            </w:r>
            <w:r w:rsidRPr="00D72822">
              <w:rPr>
                <w:rFonts w:ascii="Arial" w:hAnsi="Arial" w:cs="Arial"/>
                <w:sz w:val="24"/>
                <w:szCs w:val="24"/>
              </w:rPr>
              <w:t xml:space="preserve"> </w:t>
            </w:r>
          </w:p>
          <w:p w14:paraId="1866D4D0" w14:textId="77777777" w:rsidR="00A93D96" w:rsidRPr="00D72822" w:rsidRDefault="00A93D96" w:rsidP="00A93D96">
            <w:pPr>
              <w:rPr>
                <w:rFonts w:ascii="Arial" w:hAnsi="Arial" w:cs="Arial"/>
                <w:sz w:val="24"/>
                <w:szCs w:val="24"/>
              </w:rPr>
            </w:pPr>
            <w:r w:rsidRPr="00D72822">
              <w:rPr>
                <w:rFonts w:ascii="Arial" w:hAnsi="Arial" w:cs="Arial"/>
                <w:sz w:val="24"/>
                <w:szCs w:val="24"/>
              </w:rPr>
              <w:t>Xaggitin XL</w:t>
            </w:r>
            <w:r w:rsidRPr="00D72822">
              <w:rPr>
                <w:rFonts w:ascii="Arial" w:hAnsi="Arial" w:cs="Arial"/>
                <w:sz w:val="24"/>
                <w:szCs w:val="24"/>
                <w:vertAlign w:val="superscript"/>
              </w:rPr>
              <w:t>®</w:t>
            </w:r>
            <w:r w:rsidRPr="00D72822">
              <w:rPr>
                <w:rFonts w:ascii="Arial" w:hAnsi="Arial" w:cs="Arial"/>
                <w:sz w:val="24"/>
                <w:szCs w:val="24"/>
              </w:rPr>
              <w:t xml:space="preserve"> </w:t>
            </w:r>
          </w:p>
        </w:tc>
      </w:tr>
    </w:tbl>
    <w:p w14:paraId="3EE26B14" w14:textId="77777777" w:rsidR="00A93D96" w:rsidRPr="00D72822" w:rsidRDefault="00A93D96" w:rsidP="00A93D96">
      <w:pPr>
        <w:spacing w:after="0"/>
        <w:rPr>
          <w:rFonts w:ascii="Arial" w:hAnsi="Arial" w:cs="Arial"/>
          <w:kern w:val="0"/>
          <w:sz w:val="24"/>
          <w:szCs w:val="24"/>
          <w14:ligatures w14:val="none"/>
        </w:rPr>
      </w:pPr>
    </w:p>
    <w:p w14:paraId="0F32AD05" w14:textId="6F74780D" w:rsidR="00A93D96" w:rsidRPr="00D72822" w:rsidRDefault="00A93D96"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t xml:space="preserve">Where there is not a direct equivalent product the patient should be advised that they can manage the supply by dosing only on days where they have planned activity </w:t>
      </w:r>
      <w:proofErr w:type="gramStart"/>
      <w:r w:rsidR="00D72822" w:rsidRPr="00D72822">
        <w:rPr>
          <w:rFonts w:ascii="Arial" w:hAnsi="Arial" w:cs="Arial"/>
          <w:kern w:val="0"/>
          <w:sz w:val="24"/>
          <w:szCs w:val="24"/>
          <w14:ligatures w14:val="none"/>
        </w:rPr>
        <w:t>i.e.</w:t>
      </w:r>
      <w:proofErr w:type="gramEnd"/>
      <w:r w:rsidRPr="00D72822">
        <w:rPr>
          <w:rFonts w:ascii="Arial" w:hAnsi="Arial" w:cs="Arial"/>
          <w:kern w:val="0"/>
          <w:sz w:val="24"/>
          <w:szCs w:val="24"/>
          <w14:ligatures w14:val="none"/>
        </w:rPr>
        <w:t xml:space="preserve"> work / school and omitting doses on weekends / holidays.</w:t>
      </w:r>
    </w:p>
    <w:p w14:paraId="3E765642" w14:textId="77777777" w:rsidR="00D72822" w:rsidRPr="00D72822" w:rsidRDefault="00D72822" w:rsidP="00D72822">
      <w:pPr>
        <w:spacing w:after="0"/>
        <w:contextualSpacing/>
        <w:rPr>
          <w:rFonts w:ascii="Arial" w:hAnsi="Arial" w:cs="Arial"/>
          <w:kern w:val="0"/>
          <w:sz w:val="24"/>
          <w:szCs w:val="24"/>
          <w14:ligatures w14:val="none"/>
        </w:rPr>
      </w:pPr>
    </w:p>
    <w:p w14:paraId="2624489F" w14:textId="77777777" w:rsidR="00A93D96" w:rsidRPr="00D72822" w:rsidRDefault="00A93D96"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t xml:space="preserve">Switching patients to immediate release methylphenidate requires supervision of the efficacy and tolerability of the switching regime, due to the volume of people affected it is not possible for the ADHD team to provide this supervision for all patients. Primary care cannot switch to equivalent forms of immediate release products due to the skill requirement and resource implications. </w:t>
      </w:r>
    </w:p>
    <w:p w14:paraId="659C4A52" w14:textId="77777777" w:rsidR="00D72822" w:rsidRPr="00D72822" w:rsidRDefault="00D72822" w:rsidP="00D72822">
      <w:pPr>
        <w:spacing w:after="0"/>
        <w:contextualSpacing/>
        <w:rPr>
          <w:rFonts w:ascii="Arial" w:hAnsi="Arial" w:cs="Arial"/>
          <w:kern w:val="0"/>
          <w:sz w:val="24"/>
          <w:szCs w:val="24"/>
          <w14:ligatures w14:val="none"/>
        </w:rPr>
      </w:pPr>
    </w:p>
    <w:p w14:paraId="5902D141" w14:textId="77777777" w:rsidR="00A93D96" w:rsidRPr="00D72822" w:rsidRDefault="00A93D96"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lastRenderedPageBreak/>
        <w:t>There is no bioequivalent alternative to Equasym. Equasym differs from Concerta (and its bioequivalents) in that it has slightly less of the long-acting component. As such, switching from Equasym to Concerta (or a bioequivalent) may result in issues with insomnia. Patients should be informed about this by the community pharmacy and advised to be alert to this side effect and to consider taking the medication earlier than usual. An alternative is to switch to Medikinet which is less likely to cause insomnia, but it provides less symptom coverage through the day (as it has less of a long-acting component than Equasym). This information should be provided by the community pharmacist to enable the patient to make an informed decision.</w:t>
      </w:r>
    </w:p>
    <w:p w14:paraId="0F777BAA" w14:textId="77777777" w:rsidR="00D72822" w:rsidRPr="00D72822" w:rsidRDefault="00D72822" w:rsidP="00D72822">
      <w:pPr>
        <w:spacing w:after="0"/>
        <w:contextualSpacing/>
        <w:rPr>
          <w:rFonts w:ascii="Arial" w:hAnsi="Arial" w:cs="Arial"/>
          <w:kern w:val="0"/>
          <w:sz w:val="24"/>
          <w:szCs w:val="24"/>
          <w14:ligatures w14:val="none"/>
        </w:rPr>
      </w:pPr>
    </w:p>
    <w:p w14:paraId="5C228E1E" w14:textId="77777777" w:rsidR="00A93D96" w:rsidRPr="00D72822" w:rsidRDefault="00A93D96"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t xml:space="preserve">To switch from Equasym to an alternative long-acting form of methylphenidate please refer to the tables below. First identify the immediate release component of the prescribed dose of Equasym and then match to the closest match for the long-acting alternative. </w:t>
      </w:r>
      <w:proofErr w:type="gramStart"/>
      <w:r w:rsidRPr="00D72822">
        <w:rPr>
          <w:rFonts w:ascii="Arial" w:hAnsi="Arial" w:cs="Arial"/>
          <w:kern w:val="0"/>
          <w:sz w:val="24"/>
          <w:szCs w:val="24"/>
          <w14:ligatures w14:val="none"/>
        </w:rPr>
        <w:t>E.g.</w:t>
      </w:r>
      <w:proofErr w:type="gramEnd"/>
      <w:r w:rsidRPr="00D72822">
        <w:rPr>
          <w:rFonts w:ascii="Arial" w:hAnsi="Arial" w:cs="Arial"/>
          <w:kern w:val="0"/>
          <w:sz w:val="24"/>
          <w:szCs w:val="24"/>
          <w14:ligatures w14:val="none"/>
        </w:rPr>
        <w:t xml:space="preserve"> if the patient is prescribed Equasym XL 20mg/day, the IR component of the preparation is 6mg, this would correspond to a dose of Concerta (or its bioequivalent) of 27mg/day. Alternatively, for the same dose of Equasym, a 10mg/day dose of Medikinet would be appropriate.</w:t>
      </w:r>
    </w:p>
    <w:p w14:paraId="34B2F721" w14:textId="77777777" w:rsidR="00A93D96" w:rsidRPr="00D72822" w:rsidRDefault="00A93D96" w:rsidP="00A93D96">
      <w:pPr>
        <w:spacing w:after="0"/>
        <w:rPr>
          <w:rFonts w:ascii="Arial" w:hAnsi="Arial" w:cs="Arial"/>
          <w:kern w:val="0"/>
          <w:sz w:val="24"/>
          <w:szCs w:val="24"/>
          <w14:ligatures w14:val="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2"/>
        <w:gridCol w:w="3678"/>
        <w:gridCol w:w="4298"/>
      </w:tblGrid>
      <w:tr w:rsidR="00A93D96" w:rsidRPr="00D72822" w14:paraId="5F64DC05" w14:textId="77777777" w:rsidTr="00D72822">
        <w:trPr>
          <w:trHeight w:val="290"/>
          <w:jc w:val="center"/>
        </w:trPr>
        <w:tc>
          <w:tcPr>
            <w:tcW w:w="5000" w:type="pct"/>
            <w:gridSpan w:val="3"/>
            <w:shd w:val="clear" w:color="auto" w:fill="auto"/>
          </w:tcPr>
          <w:p w14:paraId="50BF8BD9" w14:textId="77777777" w:rsidR="00A93D96" w:rsidRPr="00D72822" w:rsidRDefault="00A93D96" w:rsidP="00A93D96">
            <w:pPr>
              <w:spacing w:line="252" w:lineRule="auto"/>
              <w:rPr>
                <w:rFonts w:ascii="Arial" w:eastAsia="Calibri" w:hAnsi="Arial" w:cs="Arial"/>
                <w:b/>
                <w:bCs/>
                <w:kern w:val="0"/>
                <w:sz w:val="24"/>
                <w:szCs w:val="24"/>
                <w:lang w:eastAsia="en-GB" w:bidi="en-GB"/>
                <w14:ligatures w14:val="none"/>
              </w:rPr>
            </w:pPr>
            <w:r w:rsidRPr="00D72822">
              <w:rPr>
                <w:rFonts w:ascii="Arial" w:eastAsia="Calibri" w:hAnsi="Arial" w:cs="Arial"/>
                <w:b/>
                <w:bCs/>
                <w:kern w:val="0"/>
                <w:sz w:val="24"/>
                <w:szCs w:val="24"/>
                <w:lang w:eastAsia="en-GB" w:bidi="en-GB"/>
                <w14:ligatures w14:val="none"/>
              </w:rPr>
              <w:t>Equasym XL</w:t>
            </w:r>
            <w:r w:rsidRPr="00D72822">
              <w:rPr>
                <w:rFonts w:ascii="Arial" w:eastAsia="Calibri" w:hAnsi="Arial" w:cs="Arial"/>
                <w:b/>
                <w:bCs/>
                <w:kern w:val="0"/>
                <w:sz w:val="24"/>
                <w:szCs w:val="24"/>
                <w:vertAlign w:val="superscript"/>
                <w:lang w:eastAsia="en-GB" w:bidi="en-GB"/>
                <w14:ligatures w14:val="none"/>
              </w:rPr>
              <w:t>®</w:t>
            </w:r>
          </w:p>
        </w:tc>
      </w:tr>
      <w:tr w:rsidR="00A93D96" w:rsidRPr="00D72822" w14:paraId="308AFA27" w14:textId="77777777" w:rsidTr="00D72822">
        <w:trPr>
          <w:trHeight w:val="290"/>
          <w:jc w:val="center"/>
        </w:trPr>
        <w:tc>
          <w:tcPr>
            <w:tcW w:w="1194" w:type="pct"/>
            <w:vMerge w:val="restart"/>
            <w:shd w:val="clear" w:color="auto" w:fill="auto"/>
          </w:tcPr>
          <w:p w14:paraId="3B59A401"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Total daily dose</w:t>
            </w:r>
          </w:p>
        </w:tc>
        <w:tc>
          <w:tcPr>
            <w:tcW w:w="1755" w:type="pct"/>
            <w:shd w:val="clear" w:color="auto" w:fill="auto"/>
          </w:tcPr>
          <w:p w14:paraId="78F57B53"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Immediate release component</w:t>
            </w:r>
          </w:p>
        </w:tc>
        <w:tc>
          <w:tcPr>
            <w:tcW w:w="2051" w:type="pct"/>
            <w:shd w:val="clear" w:color="auto" w:fill="auto"/>
          </w:tcPr>
          <w:p w14:paraId="7C890B7F"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Slow-release component</w:t>
            </w:r>
          </w:p>
        </w:tc>
      </w:tr>
      <w:tr w:rsidR="00A93D96" w:rsidRPr="00D72822" w14:paraId="64E18D0F" w14:textId="77777777" w:rsidTr="00D72822">
        <w:trPr>
          <w:trHeight w:val="287"/>
          <w:jc w:val="center"/>
        </w:trPr>
        <w:tc>
          <w:tcPr>
            <w:tcW w:w="1194" w:type="pct"/>
            <w:vMerge/>
            <w:tcBorders>
              <w:top w:val="nil"/>
            </w:tcBorders>
            <w:shd w:val="clear" w:color="auto" w:fill="auto"/>
          </w:tcPr>
          <w:p w14:paraId="5EAB7D1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p>
        </w:tc>
        <w:tc>
          <w:tcPr>
            <w:tcW w:w="1755" w:type="pct"/>
            <w:shd w:val="clear" w:color="auto" w:fill="auto"/>
          </w:tcPr>
          <w:p w14:paraId="73EB9E4B"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0 - 4 hours</w:t>
            </w:r>
          </w:p>
        </w:tc>
        <w:tc>
          <w:tcPr>
            <w:tcW w:w="2051" w:type="pct"/>
            <w:shd w:val="clear" w:color="auto" w:fill="auto"/>
          </w:tcPr>
          <w:p w14:paraId="31249E81"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4 - 8hours</w:t>
            </w:r>
          </w:p>
        </w:tc>
      </w:tr>
      <w:tr w:rsidR="00A93D96" w:rsidRPr="00D72822" w14:paraId="6BBD5203" w14:textId="77777777" w:rsidTr="00D72822">
        <w:trPr>
          <w:trHeight w:val="290"/>
          <w:jc w:val="center"/>
        </w:trPr>
        <w:tc>
          <w:tcPr>
            <w:tcW w:w="1194" w:type="pct"/>
            <w:shd w:val="clear" w:color="auto" w:fill="auto"/>
          </w:tcPr>
          <w:p w14:paraId="3BED5C41"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10mg/day</w:t>
            </w:r>
          </w:p>
        </w:tc>
        <w:tc>
          <w:tcPr>
            <w:tcW w:w="1755" w:type="pct"/>
            <w:shd w:val="clear" w:color="auto" w:fill="auto"/>
          </w:tcPr>
          <w:p w14:paraId="1BF9015B"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3mg</w:t>
            </w:r>
          </w:p>
        </w:tc>
        <w:tc>
          <w:tcPr>
            <w:tcW w:w="2051" w:type="pct"/>
            <w:shd w:val="clear" w:color="auto" w:fill="auto"/>
          </w:tcPr>
          <w:p w14:paraId="3AB5CE6F"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7mg</w:t>
            </w:r>
          </w:p>
        </w:tc>
      </w:tr>
      <w:tr w:rsidR="00A93D96" w:rsidRPr="00D72822" w14:paraId="7EF19A65" w14:textId="77777777" w:rsidTr="00D72822">
        <w:trPr>
          <w:trHeight w:val="290"/>
          <w:jc w:val="center"/>
        </w:trPr>
        <w:tc>
          <w:tcPr>
            <w:tcW w:w="1194" w:type="pct"/>
            <w:shd w:val="clear" w:color="auto" w:fill="auto"/>
          </w:tcPr>
          <w:p w14:paraId="59002730"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20mg/day</w:t>
            </w:r>
          </w:p>
        </w:tc>
        <w:tc>
          <w:tcPr>
            <w:tcW w:w="1755" w:type="pct"/>
            <w:shd w:val="clear" w:color="auto" w:fill="auto"/>
          </w:tcPr>
          <w:p w14:paraId="75EC3E11"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6mg</w:t>
            </w:r>
          </w:p>
        </w:tc>
        <w:tc>
          <w:tcPr>
            <w:tcW w:w="2051" w:type="pct"/>
            <w:shd w:val="clear" w:color="auto" w:fill="auto"/>
          </w:tcPr>
          <w:p w14:paraId="03160605"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14mg</w:t>
            </w:r>
          </w:p>
        </w:tc>
      </w:tr>
      <w:tr w:rsidR="00A93D96" w:rsidRPr="00D72822" w14:paraId="1D482A4F" w14:textId="77777777" w:rsidTr="00D72822">
        <w:trPr>
          <w:trHeight w:val="290"/>
          <w:jc w:val="center"/>
        </w:trPr>
        <w:tc>
          <w:tcPr>
            <w:tcW w:w="1194" w:type="pct"/>
            <w:shd w:val="clear" w:color="auto" w:fill="auto"/>
          </w:tcPr>
          <w:p w14:paraId="15BD17D2"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30mg/day</w:t>
            </w:r>
          </w:p>
        </w:tc>
        <w:tc>
          <w:tcPr>
            <w:tcW w:w="1755" w:type="pct"/>
            <w:shd w:val="clear" w:color="auto" w:fill="auto"/>
          </w:tcPr>
          <w:p w14:paraId="124798E7"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9mg</w:t>
            </w:r>
          </w:p>
        </w:tc>
        <w:tc>
          <w:tcPr>
            <w:tcW w:w="2051" w:type="pct"/>
            <w:shd w:val="clear" w:color="auto" w:fill="auto"/>
          </w:tcPr>
          <w:p w14:paraId="5FC17F94"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21mg</w:t>
            </w:r>
          </w:p>
        </w:tc>
      </w:tr>
      <w:tr w:rsidR="00A93D96" w:rsidRPr="00D72822" w14:paraId="1FC2F6A3" w14:textId="77777777" w:rsidTr="00D72822">
        <w:trPr>
          <w:trHeight w:val="290"/>
          <w:jc w:val="center"/>
        </w:trPr>
        <w:tc>
          <w:tcPr>
            <w:tcW w:w="1194" w:type="pct"/>
            <w:shd w:val="clear" w:color="auto" w:fill="auto"/>
          </w:tcPr>
          <w:p w14:paraId="748BCE7F"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40mg/day</w:t>
            </w:r>
          </w:p>
        </w:tc>
        <w:tc>
          <w:tcPr>
            <w:tcW w:w="1755" w:type="pct"/>
            <w:shd w:val="clear" w:color="auto" w:fill="auto"/>
          </w:tcPr>
          <w:p w14:paraId="327DC803"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12mg</w:t>
            </w:r>
          </w:p>
        </w:tc>
        <w:tc>
          <w:tcPr>
            <w:tcW w:w="2051" w:type="pct"/>
            <w:shd w:val="clear" w:color="auto" w:fill="auto"/>
          </w:tcPr>
          <w:p w14:paraId="1E6EE7E5"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28mg</w:t>
            </w:r>
          </w:p>
        </w:tc>
      </w:tr>
      <w:tr w:rsidR="00A93D96" w:rsidRPr="00D72822" w14:paraId="3836039F" w14:textId="77777777" w:rsidTr="00D72822">
        <w:trPr>
          <w:trHeight w:val="290"/>
          <w:jc w:val="center"/>
        </w:trPr>
        <w:tc>
          <w:tcPr>
            <w:tcW w:w="1194" w:type="pct"/>
            <w:shd w:val="clear" w:color="auto" w:fill="auto"/>
          </w:tcPr>
          <w:p w14:paraId="157C98C5"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50mg/day</w:t>
            </w:r>
          </w:p>
        </w:tc>
        <w:tc>
          <w:tcPr>
            <w:tcW w:w="1755" w:type="pct"/>
            <w:shd w:val="clear" w:color="auto" w:fill="auto"/>
          </w:tcPr>
          <w:p w14:paraId="67FD70F7"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15mg</w:t>
            </w:r>
          </w:p>
        </w:tc>
        <w:tc>
          <w:tcPr>
            <w:tcW w:w="2051" w:type="pct"/>
            <w:shd w:val="clear" w:color="auto" w:fill="auto"/>
          </w:tcPr>
          <w:p w14:paraId="00E3A4C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35mg</w:t>
            </w:r>
          </w:p>
        </w:tc>
      </w:tr>
      <w:tr w:rsidR="00A93D96" w:rsidRPr="00D72822" w14:paraId="2B238B70" w14:textId="77777777" w:rsidTr="00D72822">
        <w:trPr>
          <w:trHeight w:val="289"/>
          <w:jc w:val="center"/>
        </w:trPr>
        <w:tc>
          <w:tcPr>
            <w:tcW w:w="1194" w:type="pct"/>
            <w:shd w:val="clear" w:color="auto" w:fill="auto"/>
          </w:tcPr>
          <w:p w14:paraId="0B35B89E"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60mg/day</w:t>
            </w:r>
          </w:p>
        </w:tc>
        <w:tc>
          <w:tcPr>
            <w:tcW w:w="1755" w:type="pct"/>
            <w:shd w:val="clear" w:color="auto" w:fill="auto"/>
          </w:tcPr>
          <w:p w14:paraId="26F839C6"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18mg</w:t>
            </w:r>
          </w:p>
        </w:tc>
        <w:tc>
          <w:tcPr>
            <w:tcW w:w="2051" w:type="pct"/>
            <w:shd w:val="clear" w:color="auto" w:fill="auto"/>
          </w:tcPr>
          <w:p w14:paraId="1BCD397F"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42mg</w:t>
            </w:r>
          </w:p>
        </w:tc>
      </w:tr>
    </w:tbl>
    <w:p w14:paraId="43CE4F5F" w14:textId="77777777" w:rsidR="00D72822" w:rsidRPr="00D72822" w:rsidRDefault="00D72822" w:rsidP="00A93D96">
      <w:pPr>
        <w:spacing w:after="0"/>
        <w:rPr>
          <w:rFonts w:ascii="Arial" w:hAnsi="Arial" w:cs="Arial"/>
          <w:kern w:val="0"/>
          <w:sz w:val="24"/>
          <w:szCs w:val="24"/>
          <w14:ligatures w14:val="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2"/>
        <w:gridCol w:w="3711"/>
        <w:gridCol w:w="4265"/>
      </w:tblGrid>
      <w:tr w:rsidR="00A93D96" w:rsidRPr="00D72822" w14:paraId="27F83F42" w14:textId="77777777" w:rsidTr="00D72822">
        <w:trPr>
          <w:trHeight w:val="290"/>
          <w:jc w:val="center"/>
        </w:trPr>
        <w:tc>
          <w:tcPr>
            <w:tcW w:w="5000" w:type="pct"/>
            <w:gridSpan w:val="3"/>
            <w:shd w:val="clear" w:color="auto" w:fill="auto"/>
          </w:tcPr>
          <w:p w14:paraId="2B66F601" w14:textId="77777777" w:rsidR="00A93D96" w:rsidRPr="00D72822" w:rsidRDefault="00A93D96" w:rsidP="00A93D96">
            <w:pPr>
              <w:spacing w:line="252" w:lineRule="auto"/>
              <w:rPr>
                <w:rFonts w:ascii="Arial" w:eastAsia="Calibri" w:hAnsi="Arial" w:cs="Arial"/>
                <w:b/>
                <w:bCs/>
                <w:kern w:val="0"/>
                <w:sz w:val="24"/>
                <w:szCs w:val="24"/>
                <w:lang w:eastAsia="en-GB" w:bidi="en-GB"/>
                <w14:ligatures w14:val="none"/>
              </w:rPr>
            </w:pPr>
            <w:r w:rsidRPr="00D72822">
              <w:rPr>
                <w:rFonts w:ascii="Arial" w:eastAsia="Calibri" w:hAnsi="Arial" w:cs="Arial"/>
                <w:b/>
                <w:bCs/>
                <w:kern w:val="0"/>
                <w:sz w:val="24"/>
                <w:szCs w:val="24"/>
                <w:lang w:eastAsia="en-GB" w:bidi="en-GB"/>
                <w14:ligatures w14:val="none"/>
              </w:rPr>
              <w:t>Concerta XL</w:t>
            </w:r>
            <w:r w:rsidRPr="00D72822">
              <w:rPr>
                <w:rFonts w:ascii="Arial" w:eastAsia="Calibri" w:hAnsi="Arial" w:cs="Arial"/>
                <w:b/>
                <w:bCs/>
                <w:kern w:val="0"/>
                <w:sz w:val="24"/>
                <w:szCs w:val="24"/>
                <w:vertAlign w:val="superscript"/>
                <w:lang w:eastAsia="en-GB" w:bidi="en-GB"/>
                <w14:ligatures w14:val="none"/>
              </w:rPr>
              <w:t>®</w:t>
            </w:r>
            <w:r w:rsidRPr="00D72822">
              <w:rPr>
                <w:rFonts w:ascii="Arial" w:eastAsia="Calibri" w:hAnsi="Arial" w:cs="Arial"/>
                <w:b/>
                <w:bCs/>
                <w:kern w:val="0"/>
                <w:sz w:val="24"/>
                <w:szCs w:val="24"/>
                <w:lang w:eastAsia="en-GB" w:bidi="en-GB"/>
                <w14:ligatures w14:val="none"/>
              </w:rPr>
              <w:t xml:space="preserve"> and its bioequivalents (Affenid XL</w:t>
            </w:r>
            <w:r w:rsidRPr="00D72822">
              <w:rPr>
                <w:rFonts w:ascii="Arial" w:eastAsia="Calibri" w:hAnsi="Arial" w:cs="Arial"/>
                <w:b/>
                <w:bCs/>
                <w:kern w:val="0"/>
                <w:sz w:val="24"/>
                <w:szCs w:val="24"/>
                <w:vertAlign w:val="superscript"/>
                <w:lang w:eastAsia="en-GB" w:bidi="en-GB"/>
                <w14:ligatures w14:val="none"/>
              </w:rPr>
              <w:t>®</w:t>
            </w:r>
            <w:r w:rsidRPr="00D72822">
              <w:rPr>
                <w:rFonts w:ascii="Arial" w:eastAsia="Calibri" w:hAnsi="Arial" w:cs="Arial"/>
                <w:b/>
                <w:bCs/>
                <w:kern w:val="0"/>
                <w:sz w:val="24"/>
                <w:szCs w:val="24"/>
                <w:lang w:eastAsia="en-GB" w:bidi="en-GB"/>
                <w14:ligatures w14:val="none"/>
              </w:rPr>
              <w:t>, Delmosart XL</w:t>
            </w:r>
            <w:r w:rsidRPr="00D72822">
              <w:rPr>
                <w:rFonts w:ascii="Arial" w:eastAsia="Calibri" w:hAnsi="Arial" w:cs="Arial"/>
                <w:b/>
                <w:bCs/>
                <w:kern w:val="0"/>
                <w:sz w:val="24"/>
                <w:szCs w:val="24"/>
                <w:vertAlign w:val="superscript"/>
                <w:lang w:eastAsia="en-GB" w:bidi="en-GB"/>
                <w14:ligatures w14:val="none"/>
              </w:rPr>
              <w:t>®</w:t>
            </w:r>
            <w:r w:rsidRPr="00D72822">
              <w:rPr>
                <w:rFonts w:ascii="Arial" w:eastAsia="Calibri" w:hAnsi="Arial" w:cs="Arial"/>
                <w:b/>
                <w:bCs/>
                <w:kern w:val="0"/>
                <w:sz w:val="24"/>
                <w:szCs w:val="24"/>
                <w:lang w:eastAsia="en-GB" w:bidi="en-GB"/>
                <w14:ligatures w14:val="none"/>
              </w:rPr>
              <w:t>, Matoride XL</w:t>
            </w:r>
            <w:r w:rsidRPr="00D72822">
              <w:rPr>
                <w:rFonts w:ascii="Arial" w:eastAsia="Calibri" w:hAnsi="Arial" w:cs="Arial"/>
                <w:b/>
                <w:bCs/>
                <w:kern w:val="0"/>
                <w:sz w:val="24"/>
                <w:szCs w:val="24"/>
                <w:vertAlign w:val="superscript"/>
                <w:lang w:eastAsia="en-GB" w:bidi="en-GB"/>
                <w14:ligatures w14:val="none"/>
              </w:rPr>
              <w:t>®</w:t>
            </w:r>
            <w:r w:rsidRPr="00D72822">
              <w:rPr>
                <w:rFonts w:ascii="Arial" w:eastAsia="Calibri" w:hAnsi="Arial" w:cs="Arial"/>
                <w:b/>
                <w:bCs/>
                <w:kern w:val="0"/>
                <w:sz w:val="24"/>
                <w:szCs w:val="24"/>
                <w:lang w:eastAsia="en-GB" w:bidi="en-GB"/>
                <w14:ligatures w14:val="none"/>
              </w:rPr>
              <w:t>, Xaggitin XL</w:t>
            </w:r>
            <w:r w:rsidRPr="00D72822">
              <w:rPr>
                <w:rFonts w:ascii="Arial" w:eastAsia="Calibri" w:hAnsi="Arial" w:cs="Arial"/>
                <w:b/>
                <w:bCs/>
                <w:kern w:val="0"/>
                <w:sz w:val="24"/>
                <w:szCs w:val="24"/>
                <w:vertAlign w:val="superscript"/>
                <w:lang w:eastAsia="en-GB" w:bidi="en-GB"/>
                <w14:ligatures w14:val="none"/>
              </w:rPr>
              <w:t>®</w:t>
            </w:r>
            <w:r w:rsidRPr="00D72822">
              <w:rPr>
                <w:rFonts w:ascii="Arial" w:eastAsia="Calibri" w:hAnsi="Arial" w:cs="Arial"/>
                <w:b/>
                <w:bCs/>
                <w:kern w:val="0"/>
                <w:sz w:val="24"/>
                <w:szCs w:val="24"/>
                <w:lang w:eastAsia="en-GB" w:bidi="en-GB"/>
                <w14:ligatures w14:val="none"/>
              </w:rPr>
              <w:t>, Xenidate XL</w:t>
            </w:r>
            <w:r w:rsidRPr="00D72822">
              <w:rPr>
                <w:rFonts w:ascii="Arial" w:eastAsia="Calibri" w:hAnsi="Arial" w:cs="Arial"/>
                <w:b/>
                <w:bCs/>
                <w:kern w:val="0"/>
                <w:sz w:val="24"/>
                <w:szCs w:val="24"/>
                <w:vertAlign w:val="superscript"/>
                <w:lang w:eastAsia="en-GB" w:bidi="en-GB"/>
                <w14:ligatures w14:val="none"/>
              </w:rPr>
              <w:t>®</w:t>
            </w:r>
            <w:r w:rsidRPr="00D72822">
              <w:rPr>
                <w:rFonts w:ascii="Arial" w:eastAsia="Calibri" w:hAnsi="Arial" w:cs="Arial"/>
                <w:b/>
                <w:bCs/>
                <w:kern w:val="0"/>
                <w:sz w:val="24"/>
                <w:szCs w:val="24"/>
                <w:lang w:eastAsia="en-GB" w:bidi="en-GB"/>
                <w14:ligatures w14:val="none"/>
              </w:rPr>
              <w:t>)</w:t>
            </w:r>
          </w:p>
        </w:tc>
      </w:tr>
      <w:tr w:rsidR="00A93D96" w:rsidRPr="00D72822" w14:paraId="3F04AFD5" w14:textId="77777777" w:rsidTr="00D72822">
        <w:trPr>
          <w:trHeight w:val="289"/>
          <w:jc w:val="center"/>
        </w:trPr>
        <w:tc>
          <w:tcPr>
            <w:tcW w:w="1194" w:type="pct"/>
            <w:vMerge w:val="restart"/>
            <w:shd w:val="clear" w:color="auto" w:fill="auto"/>
          </w:tcPr>
          <w:p w14:paraId="799F97F9"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Total daily dose</w:t>
            </w:r>
          </w:p>
        </w:tc>
        <w:tc>
          <w:tcPr>
            <w:tcW w:w="1771" w:type="pct"/>
            <w:shd w:val="clear" w:color="auto" w:fill="auto"/>
          </w:tcPr>
          <w:p w14:paraId="7A9612DB"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Immediate release component</w:t>
            </w:r>
          </w:p>
        </w:tc>
        <w:tc>
          <w:tcPr>
            <w:tcW w:w="2035" w:type="pct"/>
            <w:shd w:val="clear" w:color="auto" w:fill="auto"/>
          </w:tcPr>
          <w:p w14:paraId="6A5E4EDF"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proofErr w:type="gramStart"/>
            <w:r w:rsidRPr="00D72822">
              <w:rPr>
                <w:rFonts w:ascii="Arial" w:eastAsia="Calibri" w:hAnsi="Arial" w:cs="Arial"/>
                <w:kern w:val="0"/>
                <w:sz w:val="24"/>
                <w:szCs w:val="24"/>
                <w:lang w:eastAsia="en-GB" w:bidi="en-GB"/>
                <w14:ligatures w14:val="none"/>
              </w:rPr>
              <w:t>Slow release</w:t>
            </w:r>
            <w:proofErr w:type="gramEnd"/>
            <w:r w:rsidRPr="00D72822">
              <w:rPr>
                <w:rFonts w:ascii="Arial" w:eastAsia="Calibri" w:hAnsi="Arial" w:cs="Arial"/>
                <w:kern w:val="0"/>
                <w:sz w:val="24"/>
                <w:szCs w:val="24"/>
                <w:lang w:eastAsia="en-GB" w:bidi="en-GB"/>
                <w14:ligatures w14:val="none"/>
              </w:rPr>
              <w:t xml:space="preserve"> component</w:t>
            </w:r>
          </w:p>
        </w:tc>
      </w:tr>
      <w:tr w:rsidR="00A93D96" w:rsidRPr="00D72822" w14:paraId="658FFFFE" w14:textId="77777777" w:rsidTr="00D72822">
        <w:trPr>
          <w:trHeight w:val="290"/>
          <w:jc w:val="center"/>
        </w:trPr>
        <w:tc>
          <w:tcPr>
            <w:tcW w:w="1194" w:type="pct"/>
            <w:vMerge/>
            <w:tcBorders>
              <w:top w:val="nil"/>
            </w:tcBorders>
            <w:shd w:val="clear" w:color="auto" w:fill="auto"/>
          </w:tcPr>
          <w:p w14:paraId="31DA4AA8"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p>
        </w:tc>
        <w:tc>
          <w:tcPr>
            <w:tcW w:w="1771" w:type="pct"/>
            <w:shd w:val="clear" w:color="auto" w:fill="auto"/>
          </w:tcPr>
          <w:p w14:paraId="1E6EE56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0 - 4 hours</w:t>
            </w:r>
          </w:p>
        </w:tc>
        <w:tc>
          <w:tcPr>
            <w:tcW w:w="2035" w:type="pct"/>
            <w:shd w:val="clear" w:color="auto" w:fill="auto"/>
          </w:tcPr>
          <w:p w14:paraId="1F644AA3"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proofErr w:type="gramStart"/>
            <w:r w:rsidRPr="00D72822">
              <w:rPr>
                <w:rFonts w:ascii="Arial" w:eastAsia="Calibri" w:hAnsi="Arial" w:cs="Arial"/>
                <w:kern w:val="0"/>
                <w:sz w:val="24"/>
                <w:szCs w:val="24"/>
                <w:lang w:eastAsia="en-GB" w:bidi="en-GB"/>
                <w14:ligatures w14:val="none"/>
              </w:rPr>
              <w:t>4  -</w:t>
            </w:r>
            <w:proofErr w:type="gramEnd"/>
            <w:r w:rsidRPr="00D72822">
              <w:rPr>
                <w:rFonts w:ascii="Arial" w:eastAsia="Calibri" w:hAnsi="Arial" w:cs="Arial"/>
                <w:kern w:val="0"/>
                <w:sz w:val="24"/>
                <w:szCs w:val="24"/>
                <w:lang w:eastAsia="en-GB" w:bidi="en-GB"/>
                <w14:ligatures w14:val="none"/>
              </w:rPr>
              <w:t xml:space="preserve"> 12hours</w:t>
            </w:r>
          </w:p>
        </w:tc>
      </w:tr>
      <w:tr w:rsidR="00A93D96" w:rsidRPr="00D72822" w14:paraId="53FD6EEB" w14:textId="77777777" w:rsidTr="00D72822">
        <w:trPr>
          <w:trHeight w:val="290"/>
          <w:jc w:val="center"/>
        </w:trPr>
        <w:tc>
          <w:tcPr>
            <w:tcW w:w="1194" w:type="pct"/>
            <w:shd w:val="clear" w:color="auto" w:fill="auto"/>
          </w:tcPr>
          <w:p w14:paraId="605C96A0"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18mg/day</w:t>
            </w:r>
          </w:p>
        </w:tc>
        <w:tc>
          <w:tcPr>
            <w:tcW w:w="1771" w:type="pct"/>
            <w:shd w:val="clear" w:color="auto" w:fill="auto"/>
          </w:tcPr>
          <w:p w14:paraId="5B0B72C8"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4mg</w:t>
            </w:r>
          </w:p>
        </w:tc>
        <w:tc>
          <w:tcPr>
            <w:tcW w:w="2035" w:type="pct"/>
            <w:shd w:val="clear" w:color="auto" w:fill="auto"/>
          </w:tcPr>
          <w:p w14:paraId="613F49C2"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14mg</w:t>
            </w:r>
          </w:p>
        </w:tc>
      </w:tr>
      <w:tr w:rsidR="00A93D96" w:rsidRPr="00D72822" w14:paraId="415A7D05" w14:textId="77777777" w:rsidTr="00D72822">
        <w:trPr>
          <w:trHeight w:val="290"/>
          <w:jc w:val="center"/>
        </w:trPr>
        <w:tc>
          <w:tcPr>
            <w:tcW w:w="1194" w:type="pct"/>
            <w:shd w:val="clear" w:color="auto" w:fill="auto"/>
          </w:tcPr>
          <w:p w14:paraId="3C95063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27mg/day</w:t>
            </w:r>
          </w:p>
        </w:tc>
        <w:tc>
          <w:tcPr>
            <w:tcW w:w="1771" w:type="pct"/>
            <w:shd w:val="clear" w:color="auto" w:fill="auto"/>
          </w:tcPr>
          <w:p w14:paraId="3C1D15F9"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6mg</w:t>
            </w:r>
          </w:p>
        </w:tc>
        <w:tc>
          <w:tcPr>
            <w:tcW w:w="2035" w:type="pct"/>
            <w:shd w:val="clear" w:color="auto" w:fill="auto"/>
          </w:tcPr>
          <w:p w14:paraId="42E0B3B2"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21mg</w:t>
            </w:r>
          </w:p>
        </w:tc>
      </w:tr>
      <w:tr w:rsidR="00A93D96" w:rsidRPr="00D72822" w14:paraId="4097A6D6" w14:textId="77777777" w:rsidTr="00D72822">
        <w:trPr>
          <w:trHeight w:val="290"/>
          <w:jc w:val="center"/>
        </w:trPr>
        <w:tc>
          <w:tcPr>
            <w:tcW w:w="1194" w:type="pct"/>
            <w:shd w:val="clear" w:color="auto" w:fill="auto"/>
          </w:tcPr>
          <w:p w14:paraId="477AFBF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36mg/day</w:t>
            </w:r>
          </w:p>
        </w:tc>
        <w:tc>
          <w:tcPr>
            <w:tcW w:w="1771" w:type="pct"/>
            <w:shd w:val="clear" w:color="auto" w:fill="auto"/>
          </w:tcPr>
          <w:p w14:paraId="5421E436"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8mg</w:t>
            </w:r>
          </w:p>
        </w:tc>
        <w:tc>
          <w:tcPr>
            <w:tcW w:w="2035" w:type="pct"/>
            <w:shd w:val="clear" w:color="auto" w:fill="auto"/>
          </w:tcPr>
          <w:p w14:paraId="333CDA83"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28mg</w:t>
            </w:r>
          </w:p>
        </w:tc>
      </w:tr>
      <w:tr w:rsidR="00A93D96" w:rsidRPr="00D72822" w14:paraId="50661F08" w14:textId="77777777" w:rsidTr="00D72822">
        <w:trPr>
          <w:trHeight w:val="290"/>
          <w:jc w:val="center"/>
        </w:trPr>
        <w:tc>
          <w:tcPr>
            <w:tcW w:w="1194" w:type="pct"/>
            <w:shd w:val="clear" w:color="auto" w:fill="auto"/>
          </w:tcPr>
          <w:p w14:paraId="14E83204"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45mg/day</w:t>
            </w:r>
          </w:p>
        </w:tc>
        <w:tc>
          <w:tcPr>
            <w:tcW w:w="1771" w:type="pct"/>
            <w:shd w:val="clear" w:color="auto" w:fill="auto"/>
          </w:tcPr>
          <w:p w14:paraId="2AD387D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10mg</w:t>
            </w:r>
          </w:p>
        </w:tc>
        <w:tc>
          <w:tcPr>
            <w:tcW w:w="2035" w:type="pct"/>
            <w:shd w:val="clear" w:color="auto" w:fill="auto"/>
          </w:tcPr>
          <w:p w14:paraId="100FFCE9"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35mg</w:t>
            </w:r>
          </w:p>
        </w:tc>
      </w:tr>
      <w:tr w:rsidR="00A93D96" w:rsidRPr="00D72822" w14:paraId="45158844" w14:textId="77777777" w:rsidTr="00D72822">
        <w:trPr>
          <w:trHeight w:val="290"/>
          <w:jc w:val="center"/>
        </w:trPr>
        <w:tc>
          <w:tcPr>
            <w:tcW w:w="1194" w:type="pct"/>
            <w:shd w:val="clear" w:color="auto" w:fill="auto"/>
          </w:tcPr>
          <w:p w14:paraId="78C14C12"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54mg/day</w:t>
            </w:r>
          </w:p>
        </w:tc>
        <w:tc>
          <w:tcPr>
            <w:tcW w:w="1771" w:type="pct"/>
            <w:shd w:val="clear" w:color="auto" w:fill="auto"/>
          </w:tcPr>
          <w:p w14:paraId="2A904A66"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12mg</w:t>
            </w:r>
          </w:p>
        </w:tc>
        <w:tc>
          <w:tcPr>
            <w:tcW w:w="2035" w:type="pct"/>
            <w:shd w:val="clear" w:color="auto" w:fill="auto"/>
          </w:tcPr>
          <w:p w14:paraId="7C82E845"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42mg</w:t>
            </w:r>
          </w:p>
        </w:tc>
      </w:tr>
      <w:tr w:rsidR="00A93D96" w:rsidRPr="00D72822" w14:paraId="4A4DD2D3" w14:textId="77777777" w:rsidTr="00D72822">
        <w:trPr>
          <w:trHeight w:val="290"/>
          <w:jc w:val="center"/>
        </w:trPr>
        <w:tc>
          <w:tcPr>
            <w:tcW w:w="1194" w:type="pct"/>
            <w:shd w:val="clear" w:color="auto" w:fill="auto"/>
          </w:tcPr>
          <w:p w14:paraId="66197370"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63mg/day</w:t>
            </w:r>
          </w:p>
        </w:tc>
        <w:tc>
          <w:tcPr>
            <w:tcW w:w="1771" w:type="pct"/>
            <w:shd w:val="clear" w:color="auto" w:fill="auto"/>
          </w:tcPr>
          <w:p w14:paraId="796E8E9D"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14mg</w:t>
            </w:r>
          </w:p>
        </w:tc>
        <w:tc>
          <w:tcPr>
            <w:tcW w:w="2035" w:type="pct"/>
            <w:shd w:val="clear" w:color="auto" w:fill="auto"/>
          </w:tcPr>
          <w:p w14:paraId="216211B3"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49mg</w:t>
            </w:r>
          </w:p>
        </w:tc>
      </w:tr>
      <w:tr w:rsidR="00A93D96" w:rsidRPr="00D72822" w14:paraId="283C6A42" w14:textId="77777777" w:rsidTr="00D72822">
        <w:trPr>
          <w:trHeight w:val="290"/>
          <w:jc w:val="center"/>
        </w:trPr>
        <w:tc>
          <w:tcPr>
            <w:tcW w:w="1194" w:type="pct"/>
            <w:shd w:val="clear" w:color="auto" w:fill="auto"/>
          </w:tcPr>
          <w:p w14:paraId="269DB77B"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72mg/day</w:t>
            </w:r>
          </w:p>
        </w:tc>
        <w:tc>
          <w:tcPr>
            <w:tcW w:w="1771" w:type="pct"/>
            <w:shd w:val="clear" w:color="auto" w:fill="auto"/>
          </w:tcPr>
          <w:p w14:paraId="0B94A076"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16mg</w:t>
            </w:r>
          </w:p>
        </w:tc>
        <w:tc>
          <w:tcPr>
            <w:tcW w:w="2035" w:type="pct"/>
            <w:shd w:val="clear" w:color="auto" w:fill="auto"/>
          </w:tcPr>
          <w:p w14:paraId="5FDC79E0" w14:textId="77777777" w:rsidR="00A93D96" w:rsidRPr="00D72822" w:rsidRDefault="00A93D96" w:rsidP="00A93D96">
            <w:pPr>
              <w:spacing w:line="252" w:lineRule="auto"/>
              <w:rPr>
                <w:rFonts w:ascii="Arial" w:eastAsia="Calibri" w:hAnsi="Arial" w:cs="Arial"/>
                <w:kern w:val="0"/>
                <w:sz w:val="24"/>
                <w:szCs w:val="24"/>
                <w:lang w:eastAsia="en-GB" w:bidi="en-GB"/>
                <w14:ligatures w14:val="none"/>
              </w:rPr>
            </w:pPr>
            <w:r w:rsidRPr="00D72822">
              <w:rPr>
                <w:rFonts w:ascii="Arial" w:eastAsia="Calibri" w:hAnsi="Arial" w:cs="Arial"/>
                <w:kern w:val="0"/>
                <w:sz w:val="24"/>
                <w:szCs w:val="24"/>
                <w:lang w:eastAsia="en-GB" w:bidi="en-GB"/>
                <w14:ligatures w14:val="none"/>
              </w:rPr>
              <w:t>56mg</w:t>
            </w:r>
          </w:p>
        </w:tc>
      </w:tr>
    </w:tbl>
    <w:p w14:paraId="44E336C2" w14:textId="77777777" w:rsidR="00D72822" w:rsidRPr="00D72822" w:rsidRDefault="00D72822" w:rsidP="00A93D96">
      <w:pPr>
        <w:spacing w:after="0"/>
        <w:rPr>
          <w:rFonts w:ascii="Arial" w:hAnsi="Arial" w:cs="Arial"/>
          <w:kern w:val="0"/>
          <w:sz w:val="24"/>
          <w:szCs w:val="24"/>
          <w14:ligatures w14:val="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56"/>
        <w:gridCol w:w="3720"/>
        <w:gridCol w:w="4302"/>
      </w:tblGrid>
      <w:tr w:rsidR="00A93D96" w:rsidRPr="00D72822" w14:paraId="65CD0FD8" w14:textId="77777777" w:rsidTr="00D72822">
        <w:trPr>
          <w:trHeight w:val="407"/>
          <w:jc w:val="center"/>
        </w:trPr>
        <w:tc>
          <w:tcPr>
            <w:tcW w:w="5000" w:type="pct"/>
            <w:gridSpan w:val="3"/>
            <w:shd w:val="clear" w:color="auto" w:fill="auto"/>
          </w:tcPr>
          <w:p w14:paraId="15292069" w14:textId="77777777" w:rsidR="00A93D96" w:rsidRPr="00D72822" w:rsidRDefault="00A93D96" w:rsidP="00A93D96">
            <w:pPr>
              <w:spacing w:line="360" w:lineRule="auto"/>
              <w:rPr>
                <w:rFonts w:ascii="Arial" w:hAnsi="Arial" w:cs="Arial"/>
                <w:b/>
                <w:bCs/>
                <w:kern w:val="0"/>
                <w:sz w:val="24"/>
                <w:szCs w:val="24"/>
                <w14:ligatures w14:val="none"/>
              </w:rPr>
            </w:pPr>
            <w:r w:rsidRPr="00D72822">
              <w:rPr>
                <w:rFonts w:ascii="Arial" w:hAnsi="Arial" w:cs="Arial"/>
                <w:b/>
                <w:bCs/>
                <w:kern w:val="0"/>
                <w:sz w:val="24"/>
                <w:szCs w:val="24"/>
                <w14:ligatures w14:val="none"/>
              </w:rPr>
              <w:t>Medikinet XL</w:t>
            </w:r>
            <w:r w:rsidRPr="00D72822">
              <w:rPr>
                <w:rFonts w:ascii="Arial" w:hAnsi="Arial" w:cs="Arial"/>
                <w:b/>
                <w:bCs/>
                <w:kern w:val="0"/>
                <w:sz w:val="24"/>
                <w:szCs w:val="24"/>
                <w:vertAlign w:val="superscript"/>
                <w14:ligatures w14:val="none"/>
              </w:rPr>
              <w:t>®</w:t>
            </w:r>
          </w:p>
        </w:tc>
      </w:tr>
      <w:tr w:rsidR="00A93D96" w:rsidRPr="00D72822" w14:paraId="7D498E9C" w14:textId="77777777" w:rsidTr="00D72822">
        <w:trPr>
          <w:trHeight w:val="684"/>
          <w:jc w:val="center"/>
        </w:trPr>
        <w:tc>
          <w:tcPr>
            <w:tcW w:w="1172" w:type="pct"/>
            <w:vMerge w:val="restart"/>
            <w:shd w:val="clear" w:color="auto" w:fill="auto"/>
          </w:tcPr>
          <w:p w14:paraId="06E5B80D" w14:textId="77777777" w:rsidR="00A93D96" w:rsidRPr="00D72822" w:rsidRDefault="00A93D96" w:rsidP="00A93D96">
            <w:pPr>
              <w:spacing w:before="148" w:line="360" w:lineRule="auto"/>
              <w:ind w:left="249"/>
              <w:rPr>
                <w:rFonts w:ascii="Arial" w:hAnsi="Arial" w:cs="Arial"/>
                <w:kern w:val="0"/>
                <w:sz w:val="24"/>
                <w:szCs w:val="24"/>
                <w14:ligatures w14:val="none"/>
              </w:rPr>
            </w:pPr>
            <w:r w:rsidRPr="00D72822">
              <w:rPr>
                <w:rFonts w:ascii="Arial" w:hAnsi="Arial" w:cs="Arial"/>
                <w:kern w:val="0"/>
                <w:sz w:val="24"/>
                <w:szCs w:val="24"/>
                <w14:ligatures w14:val="none"/>
              </w:rPr>
              <w:t>Total daily dose</w:t>
            </w:r>
          </w:p>
        </w:tc>
        <w:tc>
          <w:tcPr>
            <w:tcW w:w="1775" w:type="pct"/>
            <w:shd w:val="clear" w:color="auto" w:fill="auto"/>
          </w:tcPr>
          <w:p w14:paraId="35D27163" w14:textId="77777777" w:rsidR="00A93D96" w:rsidRPr="00D72822" w:rsidRDefault="00A93D96" w:rsidP="00A93D96">
            <w:pPr>
              <w:spacing w:line="360" w:lineRule="auto"/>
              <w:ind w:left="329" w:right="326"/>
              <w:rPr>
                <w:rFonts w:ascii="Arial" w:hAnsi="Arial" w:cs="Arial"/>
                <w:kern w:val="0"/>
                <w:sz w:val="24"/>
                <w:szCs w:val="24"/>
                <w14:ligatures w14:val="none"/>
              </w:rPr>
            </w:pPr>
            <w:r w:rsidRPr="00D72822">
              <w:rPr>
                <w:rFonts w:ascii="Arial" w:hAnsi="Arial" w:cs="Arial"/>
                <w:kern w:val="0"/>
                <w:sz w:val="24"/>
                <w:szCs w:val="24"/>
                <w14:ligatures w14:val="none"/>
              </w:rPr>
              <w:t>Immediate release component</w:t>
            </w:r>
          </w:p>
        </w:tc>
        <w:tc>
          <w:tcPr>
            <w:tcW w:w="2053" w:type="pct"/>
            <w:shd w:val="clear" w:color="auto" w:fill="auto"/>
          </w:tcPr>
          <w:p w14:paraId="6554B250" w14:textId="77777777" w:rsidR="00A93D96" w:rsidRPr="00D72822" w:rsidRDefault="00A93D96" w:rsidP="00A93D96">
            <w:pPr>
              <w:spacing w:line="360" w:lineRule="auto"/>
              <w:ind w:left="696" w:right="688"/>
              <w:rPr>
                <w:rFonts w:ascii="Arial" w:hAnsi="Arial" w:cs="Arial"/>
                <w:kern w:val="0"/>
                <w:sz w:val="24"/>
                <w:szCs w:val="24"/>
                <w14:ligatures w14:val="none"/>
              </w:rPr>
            </w:pPr>
            <w:proofErr w:type="gramStart"/>
            <w:r w:rsidRPr="00D72822">
              <w:rPr>
                <w:rFonts w:ascii="Arial" w:hAnsi="Arial" w:cs="Arial"/>
                <w:kern w:val="0"/>
                <w:sz w:val="24"/>
                <w:szCs w:val="24"/>
                <w14:ligatures w14:val="none"/>
              </w:rPr>
              <w:t>Slow release</w:t>
            </w:r>
            <w:proofErr w:type="gramEnd"/>
            <w:r w:rsidRPr="00D72822">
              <w:rPr>
                <w:rFonts w:ascii="Arial" w:hAnsi="Arial" w:cs="Arial"/>
                <w:kern w:val="0"/>
                <w:sz w:val="24"/>
                <w:szCs w:val="24"/>
                <w14:ligatures w14:val="none"/>
              </w:rPr>
              <w:t xml:space="preserve"> component</w:t>
            </w:r>
          </w:p>
        </w:tc>
      </w:tr>
      <w:tr w:rsidR="00A93D96" w:rsidRPr="00D72822" w14:paraId="5FD3DAB4" w14:textId="77777777" w:rsidTr="00D72822">
        <w:trPr>
          <w:trHeight w:val="295"/>
          <w:jc w:val="center"/>
        </w:trPr>
        <w:tc>
          <w:tcPr>
            <w:tcW w:w="1172" w:type="pct"/>
            <w:vMerge/>
            <w:tcBorders>
              <w:top w:val="nil"/>
            </w:tcBorders>
            <w:shd w:val="clear" w:color="auto" w:fill="auto"/>
          </w:tcPr>
          <w:p w14:paraId="09F0F7ED" w14:textId="77777777" w:rsidR="00A93D96" w:rsidRPr="00D72822" w:rsidRDefault="00A93D96" w:rsidP="00A93D96">
            <w:pPr>
              <w:spacing w:line="360" w:lineRule="auto"/>
              <w:rPr>
                <w:rFonts w:ascii="Arial" w:hAnsi="Arial" w:cs="Arial"/>
                <w:kern w:val="0"/>
                <w:sz w:val="24"/>
                <w:szCs w:val="24"/>
                <w14:ligatures w14:val="none"/>
              </w:rPr>
            </w:pPr>
          </w:p>
        </w:tc>
        <w:tc>
          <w:tcPr>
            <w:tcW w:w="1775" w:type="pct"/>
            <w:shd w:val="clear" w:color="auto" w:fill="auto"/>
          </w:tcPr>
          <w:p w14:paraId="7C63FF4F" w14:textId="77777777" w:rsidR="00A93D96" w:rsidRPr="00D72822" w:rsidRDefault="00A93D96" w:rsidP="00A93D96">
            <w:pPr>
              <w:spacing w:before="1" w:line="360" w:lineRule="auto"/>
              <w:ind w:left="331" w:right="325"/>
              <w:rPr>
                <w:rFonts w:ascii="Arial" w:hAnsi="Arial" w:cs="Arial"/>
                <w:kern w:val="0"/>
                <w:sz w:val="24"/>
                <w:szCs w:val="24"/>
                <w14:ligatures w14:val="none"/>
              </w:rPr>
            </w:pPr>
            <w:r w:rsidRPr="00D72822">
              <w:rPr>
                <w:rFonts w:ascii="Arial" w:hAnsi="Arial" w:cs="Arial"/>
                <w:kern w:val="0"/>
                <w:sz w:val="24"/>
                <w:szCs w:val="24"/>
                <w14:ligatures w14:val="none"/>
              </w:rPr>
              <w:t>0 - 4 hours</w:t>
            </w:r>
          </w:p>
        </w:tc>
        <w:tc>
          <w:tcPr>
            <w:tcW w:w="2053" w:type="pct"/>
            <w:shd w:val="clear" w:color="auto" w:fill="auto"/>
          </w:tcPr>
          <w:p w14:paraId="23466D17" w14:textId="77777777" w:rsidR="00A93D96" w:rsidRPr="00D72822" w:rsidRDefault="00A93D96" w:rsidP="00A93D96">
            <w:pPr>
              <w:spacing w:before="1" w:line="360" w:lineRule="auto"/>
              <w:ind w:left="696" w:right="685"/>
              <w:rPr>
                <w:rFonts w:ascii="Arial" w:hAnsi="Arial" w:cs="Arial"/>
                <w:kern w:val="0"/>
                <w:sz w:val="24"/>
                <w:szCs w:val="24"/>
                <w14:ligatures w14:val="none"/>
              </w:rPr>
            </w:pPr>
            <w:r w:rsidRPr="00D72822">
              <w:rPr>
                <w:rFonts w:ascii="Arial" w:hAnsi="Arial" w:cs="Arial"/>
                <w:kern w:val="0"/>
                <w:sz w:val="24"/>
                <w:szCs w:val="24"/>
                <w14:ligatures w14:val="none"/>
              </w:rPr>
              <w:t>4 - 8hours</w:t>
            </w:r>
          </w:p>
        </w:tc>
      </w:tr>
      <w:tr w:rsidR="00A93D96" w:rsidRPr="00D72822" w14:paraId="6CD3C2DB" w14:textId="77777777" w:rsidTr="00D72822">
        <w:trPr>
          <w:trHeight w:val="295"/>
          <w:jc w:val="center"/>
        </w:trPr>
        <w:tc>
          <w:tcPr>
            <w:tcW w:w="1172" w:type="pct"/>
            <w:shd w:val="clear" w:color="auto" w:fill="auto"/>
          </w:tcPr>
          <w:p w14:paraId="5D7A12F1" w14:textId="77777777" w:rsidR="00A93D96" w:rsidRPr="00D72822" w:rsidRDefault="00A93D96" w:rsidP="00A93D96">
            <w:pPr>
              <w:spacing w:before="1" w:line="360" w:lineRule="auto"/>
              <w:ind w:right="881"/>
              <w:rPr>
                <w:rFonts w:ascii="Arial" w:hAnsi="Arial" w:cs="Arial"/>
                <w:kern w:val="0"/>
                <w:sz w:val="24"/>
                <w:szCs w:val="24"/>
                <w14:ligatures w14:val="none"/>
              </w:rPr>
            </w:pPr>
            <w:r w:rsidRPr="00D72822">
              <w:rPr>
                <w:rFonts w:ascii="Arial" w:hAnsi="Arial" w:cs="Arial"/>
                <w:kern w:val="0"/>
                <w:sz w:val="24"/>
                <w:szCs w:val="24"/>
                <w14:ligatures w14:val="none"/>
              </w:rPr>
              <w:t>5mg/day</w:t>
            </w:r>
          </w:p>
        </w:tc>
        <w:tc>
          <w:tcPr>
            <w:tcW w:w="1775" w:type="pct"/>
            <w:shd w:val="clear" w:color="auto" w:fill="auto"/>
          </w:tcPr>
          <w:p w14:paraId="2F358271" w14:textId="77777777" w:rsidR="00A93D96" w:rsidRPr="00D72822" w:rsidRDefault="00A93D96" w:rsidP="00A93D96">
            <w:pPr>
              <w:spacing w:before="1" w:line="360" w:lineRule="auto"/>
              <w:ind w:left="331" w:right="326"/>
              <w:rPr>
                <w:rFonts w:ascii="Arial" w:hAnsi="Arial" w:cs="Arial"/>
                <w:kern w:val="0"/>
                <w:sz w:val="24"/>
                <w:szCs w:val="24"/>
                <w14:ligatures w14:val="none"/>
              </w:rPr>
            </w:pPr>
            <w:r w:rsidRPr="00D72822">
              <w:rPr>
                <w:rFonts w:ascii="Arial" w:hAnsi="Arial" w:cs="Arial"/>
                <w:kern w:val="0"/>
                <w:sz w:val="24"/>
                <w:szCs w:val="24"/>
                <w14:ligatures w14:val="none"/>
              </w:rPr>
              <w:t>2.5mg</w:t>
            </w:r>
          </w:p>
        </w:tc>
        <w:tc>
          <w:tcPr>
            <w:tcW w:w="2053" w:type="pct"/>
            <w:shd w:val="clear" w:color="auto" w:fill="auto"/>
          </w:tcPr>
          <w:p w14:paraId="32D9E931" w14:textId="77777777" w:rsidR="00A93D96" w:rsidRPr="00D72822" w:rsidRDefault="00A93D96" w:rsidP="00A93D96">
            <w:pPr>
              <w:spacing w:before="1" w:line="360" w:lineRule="auto"/>
              <w:ind w:left="696" w:right="684"/>
              <w:rPr>
                <w:rFonts w:ascii="Arial" w:hAnsi="Arial" w:cs="Arial"/>
                <w:kern w:val="0"/>
                <w:sz w:val="24"/>
                <w:szCs w:val="24"/>
                <w14:ligatures w14:val="none"/>
              </w:rPr>
            </w:pPr>
            <w:r w:rsidRPr="00D72822">
              <w:rPr>
                <w:rFonts w:ascii="Arial" w:hAnsi="Arial" w:cs="Arial"/>
                <w:kern w:val="0"/>
                <w:sz w:val="24"/>
                <w:szCs w:val="24"/>
                <w14:ligatures w14:val="none"/>
              </w:rPr>
              <w:t>2.5mg</w:t>
            </w:r>
          </w:p>
        </w:tc>
      </w:tr>
      <w:tr w:rsidR="00A93D96" w:rsidRPr="00D72822" w14:paraId="41D140F5" w14:textId="77777777" w:rsidTr="00D72822">
        <w:trPr>
          <w:trHeight w:val="295"/>
          <w:jc w:val="center"/>
        </w:trPr>
        <w:tc>
          <w:tcPr>
            <w:tcW w:w="1172" w:type="pct"/>
            <w:shd w:val="clear" w:color="auto" w:fill="auto"/>
          </w:tcPr>
          <w:p w14:paraId="12E74565" w14:textId="77777777" w:rsidR="00A93D96" w:rsidRPr="00D72822" w:rsidRDefault="00A93D96" w:rsidP="00A93D96">
            <w:pPr>
              <w:spacing w:before="1" w:line="360" w:lineRule="auto"/>
              <w:ind w:right="870"/>
              <w:rPr>
                <w:rFonts w:ascii="Arial" w:hAnsi="Arial" w:cs="Arial"/>
                <w:kern w:val="0"/>
                <w:sz w:val="24"/>
                <w:szCs w:val="24"/>
                <w14:ligatures w14:val="none"/>
              </w:rPr>
            </w:pPr>
            <w:r w:rsidRPr="00D72822">
              <w:rPr>
                <w:rFonts w:ascii="Arial" w:hAnsi="Arial" w:cs="Arial"/>
                <w:kern w:val="0"/>
                <w:sz w:val="24"/>
                <w:szCs w:val="24"/>
                <w14:ligatures w14:val="none"/>
              </w:rPr>
              <w:t>10mg/day</w:t>
            </w:r>
          </w:p>
        </w:tc>
        <w:tc>
          <w:tcPr>
            <w:tcW w:w="1775" w:type="pct"/>
            <w:shd w:val="clear" w:color="auto" w:fill="auto"/>
          </w:tcPr>
          <w:p w14:paraId="4D5DF4A7" w14:textId="77777777" w:rsidR="00A93D96" w:rsidRPr="00D72822" w:rsidRDefault="00A93D96" w:rsidP="00A93D96">
            <w:pPr>
              <w:spacing w:before="1" w:line="360" w:lineRule="auto"/>
              <w:ind w:left="331" w:right="324"/>
              <w:rPr>
                <w:rFonts w:ascii="Arial" w:hAnsi="Arial" w:cs="Arial"/>
                <w:kern w:val="0"/>
                <w:sz w:val="24"/>
                <w:szCs w:val="24"/>
                <w14:ligatures w14:val="none"/>
              </w:rPr>
            </w:pPr>
            <w:r w:rsidRPr="00D72822">
              <w:rPr>
                <w:rFonts w:ascii="Arial" w:hAnsi="Arial" w:cs="Arial"/>
                <w:kern w:val="0"/>
                <w:sz w:val="24"/>
                <w:szCs w:val="24"/>
                <w14:ligatures w14:val="none"/>
              </w:rPr>
              <w:t>5mg</w:t>
            </w:r>
          </w:p>
        </w:tc>
        <w:tc>
          <w:tcPr>
            <w:tcW w:w="2053" w:type="pct"/>
            <w:shd w:val="clear" w:color="auto" w:fill="auto"/>
          </w:tcPr>
          <w:p w14:paraId="287F9704" w14:textId="77777777" w:rsidR="00A93D96" w:rsidRPr="00D72822" w:rsidRDefault="00A93D96" w:rsidP="00A93D96">
            <w:pPr>
              <w:spacing w:before="1" w:line="360" w:lineRule="auto"/>
              <w:ind w:left="696" w:right="686"/>
              <w:rPr>
                <w:rFonts w:ascii="Arial" w:hAnsi="Arial" w:cs="Arial"/>
                <w:kern w:val="0"/>
                <w:sz w:val="24"/>
                <w:szCs w:val="24"/>
                <w14:ligatures w14:val="none"/>
              </w:rPr>
            </w:pPr>
            <w:r w:rsidRPr="00D72822">
              <w:rPr>
                <w:rFonts w:ascii="Arial" w:hAnsi="Arial" w:cs="Arial"/>
                <w:kern w:val="0"/>
                <w:sz w:val="24"/>
                <w:szCs w:val="24"/>
                <w14:ligatures w14:val="none"/>
              </w:rPr>
              <w:t>5mg</w:t>
            </w:r>
          </w:p>
        </w:tc>
      </w:tr>
      <w:tr w:rsidR="00A93D96" w:rsidRPr="00D72822" w14:paraId="6DBFA73F" w14:textId="77777777" w:rsidTr="00D72822">
        <w:trPr>
          <w:trHeight w:val="295"/>
          <w:jc w:val="center"/>
        </w:trPr>
        <w:tc>
          <w:tcPr>
            <w:tcW w:w="1172" w:type="pct"/>
            <w:shd w:val="clear" w:color="auto" w:fill="auto"/>
          </w:tcPr>
          <w:p w14:paraId="13B5BBF1" w14:textId="77777777" w:rsidR="00A93D96" w:rsidRPr="00D72822" w:rsidRDefault="00A93D96" w:rsidP="00A93D96">
            <w:pPr>
              <w:spacing w:line="360" w:lineRule="auto"/>
              <w:ind w:right="870"/>
              <w:rPr>
                <w:rFonts w:ascii="Arial" w:hAnsi="Arial" w:cs="Arial"/>
                <w:kern w:val="0"/>
                <w:sz w:val="24"/>
                <w:szCs w:val="24"/>
                <w14:ligatures w14:val="none"/>
              </w:rPr>
            </w:pPr>
            <w:r w:rsidRPr="00D72822">
              <w:rPr>
                <w:rFonts w:ascii="Arial" w:hAnsi="Arial" w:cs="Arial"/>
                <w:kern w:val="0"/>
                <w:sz w:val="24"/>
                <w:szCs w:val="24"/>
                <w14:ligatures w14:val="none"/>
              </w:rPr>
              <w:t>20mg/day</w:t>
            </w:r>
          </w:p>
        </w:tc>
        <w:tc>
          <w:tcPr>
            <w:tcW w:w="1775" w:type="pct"/>
            <w:shd w:val="clear" w:color="auto" w:fill="auto"/>
          </w:tcPr>
          <w:p w14:paraId="3DF7C439" w14:textId="77777777" w:rsidR="00A93D96" w:rsidRPr="00D72822" w:rsidRDefault="00A93D96" w:rsidP="00A93D96">
            <w:pPr>
              <w:spacing w:line="360" w:lineRule="auto"/>
              <w:ind w:left="331" w:right="324"/>
              <w:rPr>
                <w:rFonts w:ascii="Arial" w:hAnsi="Arial" w:cs="Arial"/>
                <w:kern w:val="0"/>
                <w:sz w:val="24"/>
                <w:szCs w:val="24"/>
                <w14:ligatures w14:val="none"/>
              </w:rPr>
            </w:pPr>
            <w:r w:rsidRPr="00D72822">
              <w:rPr>
                <w:rFonts w:ascii="Arial" w:hAnsi="Arial" w:cs="Arial"/>
                <w:kern w:val="0"/>
                <w:sz w:val="24"/>
                <w:szCs w:val="24"/>
                <w14:ligatures w14:val="none"/>
              </w:rPr>
              <w:t>10mg</w:t>
            </w:r>
          </w:p>
        </w:tc>
        <w:tc>
          <w:tcPr>
            <w:tcW w:w="2053" w:type="pct"/>
            <w:shd w:val="clear" w:color="auto" w:fill="auto"/>
          </w:tcPr>
          <w:p w14:paraId="652F96F8" w14:textId="77777777" w:rsidR="00A93D96" w:rsidRPr="00D72822" w:rsidRDefault="00A93D96" w:rsidP="00A93D96">
            <w:pPr>
              <w:spacing w:line="360" w:lineRule="auto"/>
              <w:ind w:left="696" w:right="686"/>
              <w:rPr>
                <w:rFonts w:ascii="Arial" w:hAnsi="Arial" w:cs="Arial"/>
                <w:kern w:val="0"/>
                <w:sz w:val="24"/>
                <w:szCs w:val="24"/>
                <w14:ligatures w14:val="none"/>
              </w:rPr>
            </w:pPr>
            <w:r w:rsidRPr="00D72822">
              <w:rPr>
                <w:rFonts w:ascii="Arial" w:hAnsi="Arial" w:cs="Arial"/>
                <w:kern w:val="0"/>
                <w:sz w:val="24"/>
                <w:szCs w:val="24"/>
                <w14:ligatures w14:val="none"/>
              </w:rPr>
              <w:t>10mg</w:t>
            </w:r>
          </w:p>
        </w:tc>
      </w:tr>
      <w:tr w:rsidR="00A93D96" w:rsidRPr="00D72822" w14:paraId="493A6173" w14:textId="77777777" w:rsidTr="00D72822">
        <w:trPr>
          <w:trHeight w:val="294"/>
          <w:jc w:val="center"/>
        </w:trPr>
        <w:tc>
          <w:tcPr>
            <w:tcW w:w="1172" w:type="pct"/>
            <w:shd w:val="clear" w:color="auto" w:fill="auto"/>
          </w:tcPr>
          <w:p w14:paraId="6C7FFF17" w14:textId="77777777" w:rsidR="00A93D96" w:rsidRPr="00D72822" w:rsidRDefault="00A93D96" w:rsidP="00A93D96">
            <w:pPr>
              <w:spacing w:line="360" w:lineRule="auto"/>
              <w:ind w:right="870"/>
              <w:rPr>
                <w:rFonts w:ascii="Arial" w:hAnsi="Arial" w:cs="Arial"/>
                <w:kern w:val="0"/>
                <w:sz w:val="24"/>
                <w:szCs w:val="24"/>
                <w14:ligatures w14:val="none"/>
              </w:rPr>
            </w:pPr>
            <w:r w:rsidRPr="00D72822">
              <w:rPr>
                <w:rFonts w:ascii="Arial" w:hAnsi="Arial" w:cs="Arial"/>
                <w:kern w:val="0"/>
                <w:sz w:val="24"/>
                <w:szCs w:val="24"/>
                <w14:ligatures w14:val="none"/>
              </w:rPr>
              <w:t>30mg/day</w:t>
            </w:r>
          </w:p>
        </w:tc>
        <w:tc>
          <w:tcPr>
            <w:tcW w:w="1775" w:type="pct"/>
            <w:shd w:val="clear" w:color="auto" w:fill="auto"/>
          </w:tcPr>
          <w:p w14:paraId="056A0215" w14:textId="77777777" w:rsidR="00A93D96" w:rsidRPr="00D72822" w:rsidRDefault="00A93D96" w:rsidP="00A93D96">
            <w:pPr>
              <w:spacing w:line="360" w:lineRule="auto"/>
              <w:ind w:left="331" w:right="324"/>
              <w:rPr>
                <w:rFonts w:ascii="Arial" w:hAnsi="Arial" w:cs="Arial"/>
                <w:kern w:val="0"/>
                <w:sz w:val="24"/>
                <w:szCs w:val="24"/>
                <w14:ligatures w14:val="none"/>
              </w:rPr>
            </w:pPr>
            <w:r w:rsidRPr="00D72822">
              <w:rPr>
                <w:rFonts w:ascii="Arial" w:hAnsi="Arial" w:cs="Arial"/>
                <w:kern w:val="0"/>
                <w:sz w:val="24"/>
                <w:szCs w:val="24"/>
                <w14:ligatures w14:val="none"/>
              </w:rPr>
              <w:t>15mg</w:t>
            </w:r>
          </w:p>
        </w:tc>
        <w:tc>
          <w:tcPr>
            <w:tcW w:w="2053" w:type="pct"/>
            <w:shd w:val="clear" w:color="auto" w:fill="auto"/>
          </w:tcPr>
          <w:p w14:paraId="4EDE8252" w14:textId="77777777" w:rsidR="00A93D96" w:rsidRPr="00D72822" w:rsidRDefault="00A93D96" w:rsidP="00A93D96">
            <w:pPr>
              <w:spacing w:line="360" w:lineRule="auto"/>
              <w:ind w:left="696" w:right="686"/>
              <w:rPr>
                <w:rFonts w:ascii="Arial" w:hAnsi="Arial" w:cs="Arial"/>
                <w:kern w:val="0"/>
                <w:sz w:val="24"/>
                <w:szCs w:val="24"/>
                <w14:ligatures w14:val="none"/>
              </w:rPr>
            </w:pPr>
            <w:r w:rsidRPr="00D72822">
              <w:rPr>
                <w:rFonts w:ascii="Arial" w:hAnsi="Arial" w:cs="Arial"/>
                <w:kern w:val="0"/>
                <w:sz w:val="24"/>
                <w:szCs w:val="24"/>
                <w14:ligatures w14:val="none"/>
              </w:rPr>
              <w:t>15mg</w:t>
            </w:r>
          </w:p>
        </w:tc>
      </w:tr>
      <w:tr w:rsidR="00A93D96" w:rsidRPr="00D72822" w14:paraId="53516DF5" w14:textId="77777777" w:rsidTr="00D72822">
        <w:trPr>
          <w:trHeight w:val="295"/>
          <w:jc w:val="center"/>
        </w:trPr>
        <w:tc>
          <w:tcPr>
            <w:tcW w:w="1172" w:type="pct"/>
            <w:shd w:val="clear" w:color="auto" w:fill="auto"/>
          </w:tcPr>
          <w:p w14:paraId="5FB95490" w14:textId="77777777" w:rsidR="00A93D96" w:rsidRPr="00D72822" w:rsidRDefault="00A93D96" w:rsidP="00A93D96">
            <w:pPr>
              <w:spacing w:line="360" w:lineRule="auto"/>
              <w:ind w:right="870"/>
              <w:rPr>
                <w:rFonts w:ascii="Arial" w:hAnsi="Arial" w:cs="Arial"/>
                <w:kern w:val="0"/>
                <w:sz w:val="24"/>
                <w:szCs w:val="24"/>
                <w14:ligatures w14:val="none"/>
              </w:rPr>
            </w:pPr>
            <w:r w:rsidRPr="00D72822">
              <w:rPr>
                <w:rFonts w:ascii="Arial" w:hAnsi="Arial" w:cs="Arial"/>
                <w:kern w:val="0"/>
                <w:sz w:val="24"/>
                <w:szCs w:val="24"/>
                <w14:ligatures w14:val="none"/>
              </w:rPr>
              <w:t>40mg/day</w:t>
            </w:r>
          </w:p>
        </w:tc>
        <w:tc>
          <w:tcPr>
            <w:tcW w:w="1775" w:type="pct"/>
            <w:shd w:val="clear" w:color="auto" w:fill="auto"/>
          </w:tcPr>
          <w:p w14:paraId="63EE05B5" w14:textId="77777777" w:rsidR="00A93D96" w:rsidRPr="00D72822" w:rsidRDefault="00A93D96" w:rsidP="00A93D96">
            <w:pPr>
              <w:spacing w:line="360" w:lineRule="auto"/>
              <w:ind w:left="331" w:right="324"/>
              <w:rPr>
                <w:rFonts w:ascii="Arial" w:hAnsi="Arial" w:cs="Arial"/>
                <w:kern w:val="0"/>
                <w:sz w:val="24"/>
                <w:szCs w:val="24"/>
                <w14:ligatures w14:val="none"/>
              </w:rPr>
            </w:pPr>
            <w:r w:rsidRPr="00D72822">
              <w:rPr>
                <w:rFonts w:ascii="Arial" w:hAnsi="Arial" w:cs="Arial"/>
                <w:kern w:val="0"/>
                <w:sz w:val="24"/>
                <w:szCs w:val="24"/>
                <w14:ligatures w14:val="none"/>
              </w:rPr>
              <w:t>20mg</w:t>
            </w:r>
          </w:p>
        </w:tc>
        <w:tc>
          <w:tcPr>
            <w:tcW w:w="2053" w:type="pct"/>
            <w:shd w:val="clear" w:color="auto" w:fill="auto"/>
          </w:tcPr>
          <w:p w14:paraId="3D5DD216" w14:textId="77777777" w:rsidR="00A93D96" w:rsidRPr="00D72822" w:rsidRDefault="00A93D96" w:rsidP="00A93D96">
            <w:pPr>
              <w:spacing w:line="360" w:lineRule="auto"/>
              <w:ind w:left="696" w:right="686"/>
              <w:rPr>
                <w:rFonts w:ascii="Arial" w:hAnsi="Arial" w:cs="Arial"/>
                <w:kern w:val="0"/>
                <w:sz w:val="24"/>
                <w:szCs w:val="24"/>
                <w14:ligatures w14:val="none"/>
              </w:rPr>
            </w:pPr>
            <w:r w:rsidRPr="00D72822">
              <w:rPr>
                <w:rFonts w:ascii="Arial" w:hAnsi="Arial" w:cs="Arial"/>
                <w:kern w:val="0"/>
                <w:sz w:val="24"/>
                <w:szCs w:val="24"/>
                <w14:ligatures w14:val="none"/>
              </w:rPr>
              <w:t>20mg</w:t>
            </w:r>
          </w:p>
        </w:tc>
      </w:tr>
      <w:tr w:rsidR="00A93D96" w:rsidRPr="00D72822" w14:paraId="213A465F" w14:textId="77777777" w:rsidTr="00D72822">
        <w:trPr>
          <w:trHeight w:val="295"/>
          <w:jc w:val="center"/>
        </w:trPr>
        <w:tc>
          <w:tcPr>
            <w:tcW w:w="1172" w:type="pct"/>
            <w:shd w:val="clear" w:color="auto" w:fill="auto"/>
          </w:tcPr>
          <w:p w14:paraId="75F43348" w14:textId="77777777" w:rsidR="00A93D96" w:rsidRPr="00D72822" w:rsidRDefault="00A93D96" w:rsidP="00A93D96">
            <w:pPr>
              <w:spacing w:line="360" w:lineRule="auto"/>
              <w:ind w:right="870"/>
              <w:rPr>
                <w:rFonts w:ascii="Arial" w:hAnsi="Arial" w:cs="Arial"/>
                <w:kern w:val="0"/>
                <w:sz w:val="24"/>
                <w:szCs w:val="24"/>
                <w14:ligatures w14:val="none"/>
              </w:rPr>
            </w:pPr>
            <w:r w:rsidRPr="00D72822">
              <w:rPr>
                <w:rFonts w:ascii="Arial" w:hAnsi="Arial" w:cs="Arial"/>
                <w:kern w:val="0"/>
                <w:sz w:val="24"/>
                <w:szCs w:val="24"/>
                <w14:ligatures w14:val="none"/>
              </w:rPr>
              <w:t>50mg/day</w:t>
            </w:r>
          </w:p>
        </w:tc>
        <w:tc>
          <w:tcPr>
            <w:tcW w:w="1775" w:type="pct"/>
            <w:shd w:val="clear" w:color="auto" w:fill="auto"/>
          </w:tcPr>
          <w:p w14:paraId="346044D9" w14:textId="77777777" w:rsidR="00A93D96" w:rsidRPr="00D72822" w:rsidRDefault="00A93D96" w:rsidP="00A93D96">
            <w:pPr>
              <w:spacing w:line="360" w:lineRule="auto"/>
              <w:ind w:left="331" w:right="324"/>
              <w:rPr>
                <w:rFonts w:ascii="Arial" w:hAnsi="Arial" w:cs="Arial"/>
                <w:kern w:val="0"/>
                <w:sz w:val="24"/>
                <w:szCs w:val="24"/>
                <w14:ligatures w14:val="none"/>
              </w:rPr>
            </w:pPr>
            <w:r w:rsidRPr="00D72822">
              <w:rPr>
                <w:rFonts w:ascii="Arial" w:hAnsi="Arial" w:cs="Arial"/>
                <w:kern w:val="0"/>
                <w:sz w:val="24"/>
                <w:szCs w:val="24"/>
                <w14:ligatures w14:val="none"/>
              </w:rPr>
              <w:t>25mg</w:t>
            </w:r>
          </w:p>
        </w:tc>
        <w:tc>
          <w:tcPr>
            <w:tcW w:w="2053" w:type="pct"/>
            <w:shd w:val="clear" w:color="auto" w:fill="auto"/>
          </w:tcPr>
          <w:p w14:paraId="6C3DFDB0" w14:textId="77777777" w:rsidR="00A93D96" w:rsidRPr="00D72822" w:rsidRDefault="00A93D96" w:rsidP="00A93D96">
            <w:pPr>
              <w:spacing w:line="360" w:lineRule="auto"/>
              <w:ind w:left="696" w:right="686"/>
              <w:rPr>
                <w:rFonts w:ascii="Arial" w:hAnsi="Arial" w:cs="Arial"/>
                <w:kern w:val="0"/>
                <w:sz w:val="24"/>
                <w:szCs w:val="24"/>
                <w14:ligatures w14:val="none"/>
              </w:rPr>
            </w:pPr>
            <w:r w:rsidRPr="00D72822">
              <w:rPr>
                <w:rFonts w:ascii="Arial" w:hAnsi="Arial" w:cs="Arial"/>
                <w:kern w:val="0"/>
                <w:sz w:val="24"/>
                <w:szCs w:val="24"/>
                <w14:ligatures w14:val="none"/>
              </w:rPr>
              <w:t>25mg</w:t>
            </w:r>
          </w:p>
        </w:tc>
      </w:tr>
      <w:tr w:rsidR="00A93D96" w:rsidRPr="00D72822" w14:paraId="5C3100D7" w14:textId="77777777" w:rsidTr="00D72822">
        <w:trPr>
          <w:trHeight w:val="295"/>
          <w:jc w:val="center"/>
        </w:trPr>
        <w:tc>
          <w:tcPr>
            <w:tcW w:w="1172" w:type="pct"/>
            <w:shd w:val="clear" w:color="auto" w:fill="auto"/>
          </w:tcPr>
          <w:p w14:paraId="53AA60AF" w14:textId="77777777" w:rsidR="00A93D96" w:rsidRPr="00D72822" w:rsidRDefault="00A93D96" w:rsidP="00A93D96">
            <w:pPr>
              <w:spacing w:line="360" w:lineRule="auto"/>
              <w:ind w:right="870"/>
              <w:rPr>
                <w:rFonts w:ascii="Arial" w:hAnsi="Arial" w:cs="Arial"/>
                <w:kern w:val="0"/>
                <w:sz w:val="24"/>
                <w:szCs w:val="24"/>
                <w14:ligatures w14:val="none"/>
              </w:rPr>
            </w:pPr>
            <w:r w:rsidRPr="00D72822">
              <w:rPr>
                <w:rFonts w:ascii="Arial" w:hAnsi="Arial" w:cs="Arial"/>
                <w:kern w:val="0"/>
                <w:sz w:val="24"/>
                <w:szCs w:val="24"/>
                <w14:ligatures w14:val="none"/>
              </w:rPr>
              <w:t>60mg/day</w:t>
            </w:r>
          </w:p>
        </w:tc>
        <w:tc>
          <w:tcPr>
            <w:tcW w:w="1775" w:type="pct"/>
            <w:shd w:val="clear" w:color="auto" w:fill="auto"/>
          </w:tcPr>
          <w:p w14:paraId="4A4BFFED" w14:textId="77777777" w:rsidR="00A93D96" w:rsidRPr="00D72822" w:rsidRDefault="00A93D96" w:rsidP="00A93D96">
            <w:pPr>
              <w:spacing w:line="360" w:lineRule="auto"/>
              <w:ind w:left="331" w:right="324"/>
              <w:rPr>
                <w:rFonts w:ascii="Arial" w:hAnsi="Arial" w:cs="Arial"/>
                <w:kern w:val="0"/>
                <w:sz w:val="24"/>
                <w:szCs w:val="24"/>
                <w14:ligatures w14:val="none"/>
              </w:rPr>
            </w:pPr>
            <w:r w:rsidRPr="00D72822">
              <w:rPr>
                <w:rFonts w:ascii="Arial" w:hAnsi="Arial" w:cs="Arial"/>
                <w:kern w:val="0"/>
                <w:sz w:val="24"/>
                <w:szCs w:val="24"/>
                <w14:ligatures w14:val="none"/>
              </w:rPr>
              <w:t>30mg</w:t>
            </w:r>
          </w:p>
        </w:tc>
        <w:tc>
          <w:tcPr>
            <w:tcW w:w="2053" w:type="pct"/>
            <w:shd w:val="clear" w:color="auto" w:fill="auto"/>
          </w:tcPr>
          <w:p w14:paraId="60A60595" w14:textId="77777777" w:rsidR="00A93D96" w:rsidRPr="00D72822" w:rsidRDefault="00A93D96" w:rsidP="00A93D96">
            <w:pPr>
              <w:spacing w:line="360" w:lineRule="auto"/>
              <w:ind w:left="696" w:right="686"/>
              <w:rPr>
                <w:rFonts w:ascii="Arial" w:hAnsi="Arial" w:cs="Arial"/>
                <w:kern w:val="0"/>
                <w:sz w:val="24"/>
                <w:szCs w:val="24"/>
                <w14:ligatures w14:val="none"/>
              </w:rPr>
            </w:pPr>
            <w:r w:rsidRPr="00D72822">
              <w:rPr>
                <w:rFonts w:ascii="Arial" w:hAnsi="Arial" w:cs="Arial"/>
                <w:kern w:val="0"/>
                <w:sz w:val="24"/>
                <w:szCs w:val="24"/>
                <w14:ligatures w14:val="none"/>
              </w:rPr>
              <w:t>30mg</w:t>
            </w:r>
          </w:p>
        </w:tc>
      </w:tr>
    </w:tbl>
    <w:p w14:paraId="5EFA1E88" w14:textId="77777777" w:rsidR="00A93D96" w:rsidRPr="00D72822" w:rsidRDefault="00A93D96" w:rsidP="00A93D96">
      <w:pPr>
        <w:spacing w:after="0"/>
        <w:rPr>
          <w:rFonts w:ascii="Arial" w:hAnsi="Arial" w:cs="Arial"/>
          <w:kern w:val="0"/>
          <w:sz w:val="24"/>
          <w:szCs w:val="24"/>
          <w14:ligatures w14:val="none"/>
        </w:rPr>
      </w:pPr>
    </w:p>
    <w:p w14:paraId="3C722CDC" w14:textId="77777777" w:rsidR="00A93D96" w:rsidRPr="00D72822" w:rsidRDefault="00A93D96" w:rsidP="00A93D96">
      <w:pPr>
        <w:spacing w:after="0"/>
        <w:rPr>
          <w:rFonts w:ascii="Arial" w:hAnsi="Arial" w:cs="Arial"/>
          <w:kern w:val="0"/>
          <w:sz w:val="24"/>
          <w:szCs w:val="24"/>
          <w14:ligatures w14:val="none"/>
        </w:rPr>
      </w:pPr>
    </w:p>
    <w:p w14:paraId="714D3EF1" w14:textId="77777777" w:rsidR="00D72822" w:rsidRPr="00D72822" w:rsidRDefault="00A93D96"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t>Where a patient has needed to either switch away from their original product there should be a discussion planned regarding return to their original product (in the first instance this can be done with the community pharmacist).</w:t>
      </w:r>
    </w:p>
    <w:p w14:paraId="05535979" w14:textId="77777777" w:rsidR="00D72822" w:rsidRPr="00D72822" w:rsidRDefault="00D72822" w:rsidP="00D72822">
      <w:pPr>
        <w:spacing w:after="0"/>
        <w:contextualSpacing/>
        <w:rPr>
          <w:rFonts w:ascii="Arial" w:hAnsi="Arial" w:cs="Arial"/>
          <w:kern w:val="0"/>
          <w:sz w:val="24"/>
          <w:szCs w:val="24"/>
          <w14:ligatures w14:val="none"/>
        </w:rPr>
      </w:pPr>
    </w:p>
    <w:p w14:paraId="536F70CC" w14:textId="77777777" w:rsidR="00D72822" w:rsidRPr="00D72822" w:rsidRDefault="00A93D96"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t>Where this is a brand switch for one of the XL tablets as outlined above the brand can be switched back without issue.</w:t>
      </w:r>
    </w:p>
    <w:p w14:paraId="45BA176C" w14:textId="77777777" w:rsidR="00D72822" w:rsidRPr="00D72822" w:rsidRDefault="00D72822" w:rsidP="00D72822">
      <w:pPr>
        <w:spacing w:after="0"/>
        <w:contextualSpacing/>
        <w:rPr>
          <w:rFonts w:ascii="Arial" w:hAnsi="Arial" w:cs="Arial"/>
          <w:kern w:val="0"/>
          <w:sz w:val="24"/>
          <w:szCs w:val="24"/>
          <w14:ligatures w14:val="none"/>
        </w:rPr>
      </w:pPr>
    </w:p>
    <w:p w14:paraId="17A44955" w14:textId="0F215B3C" w:rsidR="00A93D96" w:rsidRPr="00D72822" w:rsidRDefault="00D72822" w:rsidP="00D72822">
      <w:pPr>
        <w:spacing w:after="0"/>
        <w:contextualSpacing/>
        <w:rPr>
          <w:rFonts w:ascii="Arial" w:hAnsi="Arial" w:cs="Arial"/>
          <w:kern w:val="0"/>
          <w:sz w:val="24"/>
          <w:szCs w:val="24"/>
          <w14:ligatures w14:val="none"/>
        </w:rPr>
      </w:pPr>
      <w:r w:rsidRPr="00D72822">
        <w:rPr>
          <w:rFonts w:ascii="Arial" w:hAnsi="Arial" w:cs="Arial"/>
          <w:kern w:val="0"/>
          <w:sz w:val="24"/>
          <w:szCs w:val="24"/>
          <w14:ligatures w14:val="none"/>
        </w:rPr>
        <w:t>W</w:t>
      </w:r>
      <w:r w:rsidR="00A93D96" w:rsidRPr="00D72822">
        <w:rPr>
          <w:rFonts w:ascii="Arial" w:hAnsi="Arial" w:cs="Arial"/>
          <w:kern w:val="0"/>
          <w:sz w:val="24"/>
          <w:szCs w:val="24"/>
          <w14:ligatures w14:val="none"/>
        </w:rPr>
        <w:t>here a patient has had a treatment break greater than 4 days, they should build the dose up according to BNF guidance (see table below), with the aim of reestablishing the previous dose. Monitoring should be undertaken as specified in the shared care guidance and other medication reviewed to ensure no new medication has been added that may interact. This can be done safety within primary care if resources and skills are available. Failing that, the patient can be referred to the specialist service for reinitiation but due to the limited resources this will result in a lengthy delay in reinitiation.</w:t>
      </w:r>
    </w:p>
    <w:p w14:paraId="12A657B2" w14:textId="127F100C" w:rsidR="00D72822" w:rsidRPr="00D72822" w:rsidRDefault="00D72822">
      <w:pPr>
        <w:spacing w:after="0" w:line="240" w:lineRule="auto"/>
        <w:rPr>
          <w:rFonts w:ascii="Arial" w:hAnsi="Arial" w:cs="Arial"/>
          <w:kern w:val="0"/>
          <w:sz w:val="24"/>
          <w:szCs w:val="24"/>
          <w14:ligatures w14:val="none"/>
        </w:rPr>
      </w:pPr>
      <w:r w:rsidRPr="00D72822">
        <w:rPr>
          <w:rFonts w:ascii="Arial" w:hAnsi="Arial" w:cs="Arial"/>
          <w:kern w:val="0"/>
          <w:sz w:val="24"/>
          <w:szCs w:val="24"/>
          <w14:ligatures w14:val="none"/>
        </w:rPr>
        <w:br w:type="page"/>
      </w:r>
    </w:p>
    <w:p w14:paraId="2F9761AB" w14:textId="77777777" w:rsidR="00D72822" w:rsidRPr="00D72822" w:rsidRDefault="00D72822" w:rsidP="00D72822">
      <w:pPr>
        <w:spacing w:after="0"/>
        <w:contextualSpacing/>
        <w:rPr>
          <w:rFonts w:ascii="Arial" w:hAnsi="Arial" w:cs="Arial"/>
          <w:kern w:val="0"/>
          <w:sz w:val="24"/>
          <w:szCs w:val="24"/>
          <w14:ligatures w14:val="none"/>
        </w:rPr>
      </w:pPr>
    </w:p>
    <w:p w14:paraId="149DFB21" w14:textId="77777777" w:rsidR="00A93D96" w:rsidRPr="00D72822" w:rsidRDefault="00A93D96" w:rsidP="00A93D96">
      <w:pPr>
        <w:spacing w:after="0"/>
        <w:ind w:left="1440"/>
        <w:contextualSpacing/>
        <w:rPr>
          <w:rFonts w:ascii="Arial" w:hAnsi="Arial" w:cs="Arial"/>
          <w:kern w:val="0"/>
          <w:sz w:val="24"/>
          <w:szCs w:val="24"/>
          <w14:ligatures w14:val="none"/>
        </w:rPr>
      </w:pPr>
    </w:p>
    <w:tbl>
      <w:tblPr>
        <w:tblStyle w:val="TableGrid"/>
        <w:tblW w:w="5000" w:type="pct"/>
        <w:jc w:val="center"/>
        <w:tblLook w:val="04A0" w:firstRow="1" w:lastRow="0" w:firstColumn="1" w:lastColumn="0" w:noHBand="0" w:noVBand="1"/>
      </w:tblPr>
      <w:tblGrid>
        <w:gridCol w:w="3397"/>
        <w:gridCol w:w="7081"/>
      </w:tblGrid>
      <w:tr w:rsidR="00A93D96" w:rsidRPr="00D72822" w14:paraId="20E73DFE" w14:textId="77777777" w:rsidTr="00D72822">
        <w:trPr>
          <w:jc w:val="center"/>
        </w:trPr>
        <w:tc>
          <w:tcPr>
            <w:tcW w:w="1621" w:type="pct"/>
          </w:tcPr>
          <w:p w14:paraId="0BB7CBC7" w14:textId="77777777" w:rsidR="00A93D96" w:rsidRPr="00D72822" w:rsidRDefault="00A93D96" w:rsidP="00A93D96">
            <w:pPr>
              <w:rPr>
                <w:rFonts w:ascii="Arial" w:hAnsi="Arial" w:cs="Arial"/>
                <w:b/>
                <w:bCs/>
                <w:sz w:val="24"/>
                <w:szCs w:val="24"/>
              </w:rPr>
            </w:pPr>
            <w:bookmarkStart w:id="0" w:name="_Hlk147825942"/>
            <w:r w:rsidRPr="00D72822">
              <w:rPr>
                <w:rFonts w:ascii="Arial" w:hAnsi="Arial" w:cs="Arial"/>
                <w:b/>
                <w:bCs/>
                <w:sz w:val="24"/>
                <w:szCs w:val="24"/>
              </w:rPr>
              <w:t>Medication</w:t>
            </w:r>
          </w:p>
        </w:tc>
        <w:tc>
          <w:tcPr>
            <w:tcW w:w="3379" w:type="pct"/>
          </w:tcPr>
          <w:p w14:paraId="251139E8"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Reinitiation</w:t>
            </w:r>
          </w:p>
        </w:tc>
      </w:tr>
      <w:tr w:rsidR="00A93D96" w:rsidRPr="00D72822" w14:paraId="46CC13A2" w14:textId="77777777" w:rsidTr="00D72822">
        <w:trPr>
          <w:jc w:val="center"/>
        </w:trPr>
        <w:tc>
          <w:tcPr>
            <w:tcW w:w="1621" w:type="pct"/>
          </w:tcPr>
          <w:p w14:paraId="62420267"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Concerta XL and its bioequivalents (Affenid XL® </w:t>
            </w:r>
          </w:p>
          <w:p w14:paraId="19630E0D"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Xaggitin XL® </w:t>
            </w:r>
          </w:p>
          <w:p w14:paraId="081EBA07"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Delmosart XL® </w:t>
            </w:r>
          </w:p>
          <w:p w14:paraId="1DD365F4"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Matoride XL® </w:t>
            </w:r>
          </w:p>
          <w:p w14:paraId="51FAF916" w14:textId="77777777" w:rsidR="00A93D96" w:rsidRPr="00D72822" w:rsidRDefault="00A93D96" w:rsidP="00A93D96">
            <w:pPr>
              <w:rPr>
                <w:rFonts w:ascii="Arial" w:hAnsi="Arial" w:cs="Arial"/>
                <w:sz w:val="24"/>
                <w:szCs w:val="24"/>
              </w:rPr>
            </w:pPr>
            <w:r w:rsidRPr="00D72822">
              <w:rPr>
                <w:rFonts w:ascii="Arial" w:hAnsi="Arial" w:cs="Arial"/>
                <w:sz w:val="24"/>
                <w:szCs w:val="24"/>
              </w:rPr>
              <w:t>Xenidate XL®</w:t>
            </w:r>
          </w:p>
        </w:tc>
        <w:tc>
          <w:tcPr>
            <w:tcW w:w="3379" w:type="pct"/>
          </w:tcPr>
          <w:p w14:paraId="2432AAB8"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Initially 18 mg once daily, dose to be taken in the morning; increased at weekly intervals by 18mg </w:t>
            </w:r>
            <w:bookmarkStart w:id="1" w:name="_Hlk147825794"/>
            <w:r w:rsidRPr="00D72822">
              <w:rPr>
                <w:rFonts w:ascii="Arial" w:hAnsi="Arial" w:cs="Arial"/>
                <w:sz w:val="24"/>
                <w:szCs w:val="24"/>
              </w:rPr>
              <w:t>until the original maintenance dose is achieved. Once stable check blood pressure and pulse.</w:t>
            </w:r>
            <w:bookmarkEnd w:id="1"/>
            <w:r w:rsidRPr="00D72822">
              <w:rPr>
                <w:rFonts w:ascii="Arial" w:hAnsi="Arial" w:cs="Arial"/>
                <w:sz w:val="24"/>
                <w:szCs w:val="24"/>
              </w:rPr>
              <w:t xml:space="preserve"> BP, pulse, and weight, should be recorded at baseline.</w:t>
            </w:r>
          </w:p>
        </w:tc>
      </w:tr>
      <w:bookmarkEnd w:id="0"/>
      <w:tr w:rsidR="00A93D96" w:rsidRPr="00D72822" w14:paraId="4442C3D2" w14:textId="77777777" w:rsidTr="00D72822">
        <w:trPr>
          <w:jc w:val="center"/>
        </w:trPr>
        <w:tc>
          <w:tcPr>
            <w:tcW w:w="1621" w:type="pct"/>
          </w:tcPr>
          <w:p w14:paraId="1E1A0FEF" w14:textId="77777777" w:rsidR="00A93D96" w:rsidRPr="00D72822" w:rsidRDefault="00A93D96" w:rsidP="00A93D96">
            <w:pPr>
              <w:rPr>
                <w:rFonts w:ascii="Arial" w:hAnsi="Arial" w:cs="Arial"/>
                <w:sz w:val="24"/>
                <w:szCs w:val="24"/>
              </w:rPr>
            </w:pPr>
            <w:r w:rsidRPr="00D72822">
              <w:rPr>
                <w:rFonts w:ascii="Arial" w:hAnsi="Arial" w:cs="Arial"/>
                <w:sz w:val="24"/>
                <w:szCs w:val="24"/>
              </w:rPr>
              <w:t>Equasym XL®</w:t>
            </w:r>
          </w:p>
        </w:tc>
        <w:tc>
          <w:tcPr>
            <w:tcW w:w="3379" w:type="pct"/>
          </w:tcPr>
          <w:p w14:paraId="68E214BF" w14:textId="77777777" w:rsidR="00A93D96" w:rsidRPr="00D72822" w:rsidRDefault="00A93D96" w:rsidP="00A93D96">
            <w:pPr>
              <w:rPr>
                <w:rFonts w:ascii="Arial" w:hAnsi="Arial" w:cs="Arial"/>
                <w:sz w:val="24"/>
                <w:szCs w:val="24"/>
              </w:rPr>
            </w:pPr>
            <w:r w:rsidRPr="00D72822">
              <w:rPr>
                <w:rFonts w:ascii="Arial" w:hAnsi="Arial" w:cs="Arial"/>
                <w:sz w:val="24"/>
                <w:szCs w:val="24"/>
              </w:rPr>
              <w:t>Initially 10 mg once daily, dose to be taken in the morning before breakfast; increased gradually at weekly intervals by 10mg. until the original maintenance dose is achieved. Once stable check blood pressure and pulse. BP, pulse, and weight, should be recorded at baseline.</w:t>
            </w:r>
          </w:p>
        </w:tc>
      </w:tr>
      <w:tr w:rsidR="00A93D96" w:rsidRPr="00D72822" w14:paraId="2059CF94" w14:textId="77777777" w:rsidTr="00D72822">
        <w:trPr>
          <w:jc w:val="center"/>
        </w:trPr>
        <w:tc>
          <w:tcPr>
            <w:tcW w:w="1621" w:type="pct"/>
          </w:tcPr>
          <w:p w14:paraId="505F205C" w14:textId="77777777" w:rsidR="00A93D96" w:rsidRPr="00D72822" w:rsidRDefault="00A93D96" w:rsidP="00A93D96">
            <w:pPr>
              <w:rPr>
                <w:rFonts w:ascii="Arial" w:hAnsi="Arial" w:cs="Arial"/>
                <w:sz w:val="24"/>
                <w:szCs w:val="24"/>
              </w:rPr>
            </w:pPr>
            <w:r w:rsidRPr="00D72822">
              <w:rPr>
                <w:rFonts w:ascii="Arial" w:hAnsi="Arial" w:cs="Arial"/>
                <w:sz w:val="24"/>
                <w:szCs w:val="24"/>
              </w:rPr>
              <w:t>Medikinet XL</w:t>
            </w:r>
            <w:r w:rsidRPr="00D72822">
              <w:rPr>
                <w:rFonts w:ascii="Arial" w:hAnsi="Arial" w:cs="Arial"/>
                <w:sz w:val="24"/>
                <w:szCs w:val="24"/>
                <w:vertAlign w:val="superscript"/>
              </w:rPr>
              <w:t>®</w:t>
            </w:r>
          </w:p>
        </w:tc>
        <w:tc>
          <w:tcPr>
            <w:tcW w:w="3379" w:type="pct"/>
          </w:tcPr>
          <w:p w14:paraId="6C6957CA" w14:textId="77777777" w:rsidR="00A93D96" w:rsidRPr="00D72822" w:rsidRDefault="00A93D96" w:rsidP="00A93D96">
            <w:pPr>
              <w:rPr>
                <w:rFonts w:ascii="Arial" w:hAnsi="Arial" w:cs="Arial"/>
                <w:sz w:val="24"/>
                <w:szCs w:val="24"/>
              </w:rPr>
            </w:pPr>
            <w:r w:rsidRPr="00D72822">
              <w:rPr>
                <w:rFonts w:ascii="Arial" w:hAnsi="Arial" w:cs="Arial"/>
                <w:sz w:val="24"/>
                <w:szCs w:val="24"/>
              </w:rPr>
              <w:t>Initially 10 mg once daily, dose to be taken in the morning with breakfast; adjusted at weekly intervals by 10mg until the original maintenance dose is achieved. Once stable check blood pressure and pulse. BP, pulse, and weight, should be recorded at baseline.</w:t>
            </w:r>
          </w:p>
        </w:tc>
      </w:tr>
    </w:tbl>
    <w:p w14:paraId="307D2986" w14:textId="77777777" w:rsidR="00A93D96" w:rsidRPr="00D72822" w:rsidRDefault="00A93D96" w:rsidP="00A93D96">
      <w:pPr>
        <w:spacing w:after="0"/>
        <w:rPr>
          <w:rFonts w:ascii="Arial" w:hAnsi="Arial" w:cs="Arial"/>
          <w:kern w:val="0"/>
          <w:sz w:val="24"/>
          <w:szCs w:val="24"/>
          <w14:ligatures w14:val="none"/>
        </w:rPr>
      </w:pPr>
    </w:p>
    <w:p w14:paraId="4CAEBB77" w14:textId="357B672C" w:rsidR="00D72822" w:rsidRPr="00D72822" w:rsidRDefault="00D72822">
      <w:pPr>
        <w:spacing w:after="0" w:line="240" w:lineRule="auto"/>
        <w:rPr>
          <w:rFonts w:ascii="Arial" w:hAnsi="Arial" w:cs="Arial"/>
          <w:kern w:val="0"/>
          <w:sz w:val="24"/>
          <w:szCs w:val="24"/>
          <w14:ligatures w14:val="none"/>
        </w:rPr>
      </w:pPr>
      <w:r w:rsidRPr="00D72822">
        <w:rPr>
          <w:rFonts w:ascii="Arial" w:hAnsi="Arial" w:cs="Arial"/>
          <w:kern w:val="0"/>
          <w:sz w:val="24"/>
          <w:szCs w:val="24"/>
          <w14:ligatures w14:val="none"/>
        </w:rPr>
        <w:br w:type="page"/>
      </w:r>
    </w:p>
    <w:p w14:paraId="5A31D734" w14:textId="77777777" w:rsidR="00A93D96" w:rsidRPr="00D72822" w:rsidRDefault="00A93D96" w:rsidP="00A93D96">
      <w:pPr>
        <w:spacing w:after="0"/>
        <w:ind w:left="1440"/>
        <w:contextualSpacing/>
        <w:rPr>
          <w:rFonts w:ascii="Arial" w:hAnsi="Arial" w:cs="Arial"/>
          <w:kern w:val="0"/>
          <w:sz w:val="24"/>
          <w:szCs w:val="24"/>
          <w14:ligatures w14:val="none"/>
        </w:rPr>
      </w:pPr>
    </w:p>
    <w:p w14:paraId="665AB080" w14:textId="77777777" w:rsidR="00A93D96" w:rsidRPr="00D72822" w:rsidRDefault="00A93D96" w:rsidP="00A93D96">
      <w:pPr>
        <w:keepNext/>
        <w:keepLines/>
        <w:spacing w:after="0"/>
        <w:ind w:left="-5" w:hanging="10"/>
        <w:outlineLvl w:val="0"/>
        <w:rPr>
          <w:rFonts w:ascii="Arial" w:eastAsia="Calibri" w:hAnsi="Arial" w:cs="Arial"/>
          <w:b/>
          <w:bCs/>
          <w:color w:val="000000"/>
          <w:sz w:val="28"/>
          <w:szCs w:val="28"/>
          <w:lang w:eastAsia="en-GB"/>
        </w:rPr>
      </w:pPr>
      <w:r w:rsidRPr="00D72822">
        <w:rPr>
          <w:rFonts w:ascii="Arial" w:eastAsia="Calibri" w:hAnsi="Arial" w:cs="Arial"/>
          <w:b/>
          <w:bCs/>
          <w:color w:val="000000"/>
          <w:sz w:val="28"/>
          <w:szCs w:val="28"/>
          <w:lang w:eastAsia="en-GB"/>
        </w:rPr>
        <w:t xml:space="preserve">Lisdexamfetamine </w:t>
      </w:r>
    </w:p>
    <w:p w14:paraId="40320A66" w14:textId="77777777" w:rsidR="00A93D96" w:rsidRPr="00D72822" w:rsidRDefault="00A93D96" w:rsidP="00A93D96">
      <w:pPr>
        <w:spacing w:after="24"/>
        <w:rPr>
          <w:rFonts w:ascii="Arial" w:hAnsi="Arial" w:cs="Arial"/>
          <w:kern w:val="0"/>
          <w:sz w:val="24"/>
          <w:szCs w:val="24"/>
          <w14:ligatures w14:val="none"/>
        </w:rPr>
      </w:pPr>
      <w:r w:rsidRPr="00D72822">
        <w:rPr>
          <w:rFonts w:ascii="Arial" w:hAnsi="Arial" w:cs="Arial"/>
          <w:kern w:val="0"/>
          <w:sz w:val="24"/>
          <w:szCs w:val="24"/>
          <w14:ligatures w14:val="none"/>
        </w:rPr>
        <w:t xml:space="preserve"> </w:t>
      </w:r>
    </w:p>
    <w:p w14:paraId="5AC5B41C" w14:textId="77777777" w:rsidR="00A93D96" w:rsidRPr="00D72822" w:rsidRDefault="00A93D96" w:rsidP="00D72822">
      <w:pPr>
        <w:rPr>
          <w:rFonts w:ascii="Arial" w:hAnsi="Arial" w:cs="Arial"/>
          <w:sz w:val="24"/>
          <w:szCs w:val="24"/>
        </w:rPr>
      </w:pPr>
      <w:r w:rsidRPr="00D72822">
        <w:rPr>
          <w:rFonts w:ascii="Arial" w:hAnsi="Arial" w:cs="Arial"/>
          <w:sz w:val="24"/>
          <w:szCs w:val="24"/>
        </w:rPr>
        <w:t xml:space="preserve">Lisdexamfetamine is a prodrug of dexamphetamine.  It is broken down in red blood cells so that dexamphetamine is gradually made available. </w:t>
      </w:r>
    </w:p>
    <w:p w14:paraId="6D9B73D4" w14:textId="77777777" w:rsidR="00A93D96" w:rsidRPr="00D72822" w:rsidRDefault="00A93D96" w:rsidP="00D72822">
      <w:pPr>
        <w:rPr>
          <w:rFonts w:ascii="Arial" w:hAnsi="Arial" w:cs="Arial"/>
          <w:sz w:val="24"/>
          <w:szCs w:val="24"/>
        </w:rPr>
      </w:pPr>
      <w:r w:rsidRPr="00D72822">
        <w:rPr>
          <w:rFonts w:ascii="Arial" w:hAnsi="Arial" w:cs="Arial"/>
          <w:sz w:val="24"/>
          <w:szCs w:val="24"/>
        </w:rPr>
        <w:t xml:space="preserve">The dexamphetamine portion of Lisdexamfetamine is complexed with the amino acid lysine, and in this form is inactive until activated by red blood cells.  It is therefore unlikely to be abused for recreational or dependency-driven purposes, compared with dexamphetamine. </w:t>
      </w:r>
    </w:p>
    <w:p w14:paraId="7FB78E2A" w14:textId="77777777" w:rsidR="00A93D96" w:rsidRPr="00D72822" w:rsidRDefault="00A93D96" w:rsidP="00D72822">
      <w:pPr>
        <w:rPr>
          <w:rFonts w:ascii="Arial" w:hAnsi="Arial" w:cs="Arial"/>
          <w:sz w:val="24"/>
          <w:szCs w:val="24"/>
        </w:rPr>
      </w:pPr>
      <w:r w:rsidRPr="00D72822">
        <w:rPr>
          <w:rFonts w:ascii="Arial" w:hAnsi="Arial" w:cs="Arial"/>
          <w:sz w:val="24"/>
          <w:szCs w:val="24"/>
        </w:rPr>
        <w:t>There is no bioequivalent formulation available for lisdexamfetamine. Switching to methylphenidate alternatives requires specialist input and it is not anticipated that this would be achievable for patients given the resources required. Additionally, switching to methylphenidate from lisdexamfetamine is often not clinically appropriate. There is no accurate conversion factor to enable switching to the immediate release alternative dexamfetamine. Again, this would require specialist input, and this is not achievable due to the resource implications.</w:t>
      </w:r>
    </w:p>
    <w:p w14:paraId="3FD5CEBA" w14:textId="2A3ABD4D" w:rsidR="00A93D96" w:rsidRPr="00D72822" w:rsidRDefault="00A93D96" w:rsidP="00D72822">
      <w:pPr>
        <w:rPr>
          <w:rFonts w:ascii="Arial" w:hAnsi="Arial" w:cs="Arial"/>
          <w:sz w:val="24"/>
          <w:szCs w:val="24"/>
        </w:rPr>
      </w:pPr>
      <w:r w:rsidRPr="00D72822">
        <w:rPr>
          <w:rFonts w:ascii="Arial" w:hAnsi="Arial" w:cs="Arial"/>
          <w:sz w:val="24"/>
          <w:szCs w:val="24"/>
        </w:rPr>
        <w:t xml:space="preserve">As there is not a direct equivalent product the patient should be advised that they can manage the supply by dosing only on days where they have planned activity </w:t>
      </w:r>
      <w:proofErr w:type="gramStart"/>
      <w:r w:rsidR="00D72822" w:rsidRPr="00D72822">
        <w:rPr>
          <w:rFonts w:ascii="Arial" w:hAnsi="Arial" w:cs="Arial"/>
          <w:sz w:val="24"/>
          <w:szCs w:val="24"/>
        </w:rPr>
        <w:t>i.e.</w:t>
      </w:r>
      <w:proofErr w:type="gramEnd"/>
      <w:r w:rsidRPr="00D72822">
        <w:rPr>
          <w:rFonts w:ascii="Arial" w:hAnsi="Arial" w:cs="Arial"/>
          <w:sz w:val="24"/>
          <w:szCs w:val="24"/>
        </w:rPr>
        <w:t xml:space="preserve"> work / school and omitting doses on weekends / holidays.</w:t>
      </w:r>
    </w:p>
    <w:p w14:paraId="08689DF3" w14:textId="77777777" w:rsidR="00A93D96" w:rsidRPr="00D72822" w:rsidRDefault="00A93D96" w:rsidP="00D72822">
      <w:pPr>
        <w:rPr>
          <w:rFonts w:ascii="Arial" w:hAnsi="Arial" w:cs="Arial"/>
          <w:sz w:val="24"/>
          <w:szCs w:val="24"/>
        </w:rPr>
      </w:pPr>
      <w:r w:rsidRPr="00D72822">
        <w:rPr>
          <w:rFonts w:ascii="Arial" w:hAnsi="Arial" w:cs="Arial"/>
          <w:sz w:val="24"/>
          <w:szCs w:val="24"/>
        </w:rPr>
        <w:t xml:space="preserve">Some patients may tolerate abrupt withdrawal from higher doses (above 50mg) of lisdexamfetamine whereas others may experience symptoms of withdrawal (fatigue and low mood). Patients maintained on doses of lisdexamfetamine greater than 50mg/day should be advised to taper the dose prior to stopping where supplies allow this. Patients maintained on lisdexamfetamine should be advised to taper the level of medication by no more than 20mg every 3 to 7 days until they reach a dose of 50mg at which point it can be discontinued. </w:t>
      </w:r>
      <w:bookmarkStart w:id="2" w:name="_Hlk147929869"/>
      <w:r w:rsidRPr="00D72822">
        <w:rPr>
          <w:rFonts w:ascii="Arial" w:hAnsi="Arial" w:cs="Arial"/>
          <w:sz w:val="24"/>
          <w:szCs w:val="24"/>
        </w:rPr>
        <w:t xml:space="preserve">Where tapering is not possible patients can be advised to dissolve the contents of the capsule in water, drink half and discard the rest. If this is done for 3-7 </w:t>
      </w:r>
      <w:proofErr w:type="gramStart"/>
      <w:r w:rsidRPr="00D72822">
        <w:rPr>
          <w:rFonts w:ascii="Arial" w:hAnsi="Arial" w:cs="Arial"/>
          <w:sz w:val="24"/>
          <w:szCs w:val="24"/>
        </w:rPr>
        <w:t>days</w:t>
      </w:r>
      <w:proofErr w:type="gramEnd"/>
      <w:r w:rsidRPr="00D72822">
        <w:rPr>
          <w:rFonts w:ascii="Arial" w:hAnsi="Arial" w:cs="Arial"/>
          <w:sz w:val="24"/>
          <w:szCs w:val="24"/>
        </w:rPr>
        <w:t xml:space="preserve"> then the risk of withdrawal symptoms will be reduced.</w:t>
      </w:r>
    </w:p>
    <w:bookmarkEnd w:id="2"/>
    <w:p w14:paraId="3F80EA1B" w14:textId="762D2C53" w:rsidR="00A93D96" w:rsidRPr="00D72822" w:rsidRDefault="00A93D96" w:rsidP="00D72822">
      <w:pPr>
        <w:rPr>
          <w:rFonts w:ascii="Arial" w:hAnsi="Arial" w:cs="Arial"/>
          <w:kern w:val="0"/>
          <w:sz w:val="24"/>
          <w:szCs w:val="24"/>
          <w14:ligatures w14:val="none"/>
        </w:rPr>
      </w:pPr>
      <w:r w:rsidRPr="00D72822">
        <w:rPr>
          <w:rFonts w:ascii="Arial" w:hAnsi="Arial" w:cs="Arial"/>
          <w:sz w:val="24"/>
          <w:szCs w:val="24"/>
        </w:rPr>
        <w:t>The following specialist importers have confirmed they can source unlicensed imports of lisdexamfetamine (Vyvanse) capsules (please note there may be other companies that can also source supplies and lead times vary):</w:t>
      </w:r>
    </w:p>
    <w:p w14:paraId="4FA1D7FD" w14:textId="77777777" w:rsidR="00A93D96" w:rsidRPr="00D72822" w:rsidRDefault="00A93D96" w:rsidP="00A93D96">
      <w:pPr>
        <w:numPr>
          <w:ilvl w:val="1"/>
          <w:numId w:val="18"/>
        </w:num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Alium</w:t>
      </w:r>
    </w:p>
    <w:p w14:paraId="0EE7D802" w14:textId="77777777" w:rsidR="00A93D96" w:rsidRPr="00D72822" w:rsidRDefault="00A93D96" w:rsidP="00A93D96">
      <w:pPr>
        <w:numPr>
          <w:ilvl w:val="1"/>
          <w:numId w:val="18"/>
        </w:num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Target</w:t>
      </w:r>
    </w:p>
    <w:p w14:paraId="6F56890F" w14:textId="77777777" w:rsidR="00A93D96" w:rsidRPr="00D72822" w:rsidRDefault="00A93D96" w:rsidP="00A93D96">
      <w:pPr>
        <w:spacing w:after="10" w:line="248" w:lineRule="auto"/>
        <w:rPr>
          <w:rFonts w:ascii="Arial" w:hAnsi="Arial" w:cs="Arial"/>
          <w:kern w:val="0"/>
          <w:sz w:val="24"/>
          <w:szCs w:val="24"/>
          <w14:ligatures w14:val="none"/>
        </w:rPr>
      </w:pPr>
    </w:p>
    <w:p w14:paraId="65D4F776" w14:textId="77777777" w:rsidR="00A93D96" w:rsidRDefault="00A93D96" w:rsidP="00D72822">
      <w:p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Where a patient has had a treatment break greater than 4 days, they should build the dose up according to BNF guidance, with the aim of reestablishing the previous dose. Medication must be reviewed to ensure no new medication has been added in the interim period that may interact. </w:t>
      </w:r>
      <w:bookmarkStart w:id="3" w:name="_Hlk147826110"/>
      <w:bookmarkStart w:id="4" w:name="_Hlk147827037"/>
      <w:r w:rsidRPr="00D72822">
        <w:rPr>
          <w:rFonts w:ascii="Arial" w:hAnsi="Arial" w:cs="Arial"/>
          <w:kern w:val="0"/>
          <w:sz w:val="24"/>
          <w:szCs w:val="24"/>
          <w14:ligatures w14:val="none"/>
        </w:rPr>
        <w:t>This can be done safety within primary care if resources and skills are available. Failing that, the patient can be referred to the specialist service for reinitiation but due to the limited resources this will result in a lengthy delay in reinitiation.</w:t>
      </w:r>
      <w:bookmarkEnd w:id="3"/>
    </w:p>
    <w:p w14:paraId="27E052AE" w14:textId="77777777" w:rsidR="00D72822" w:rsidRDefault="00D72822" w:rsidP="00D72822">
      <w:pPr>
        <w:spacing w:after="10" w:line="248" w:lineRule="auto"/>
        <w:rPr>
          <w:rFonts w:ascii="Arial" w:hAnsi="Arial" w:cs="Arial"/>
          <w:kern w:val="0"/>
          <w:sz w:val="24"/>
          <w:szCs w:val="24"/>
          <w14:ligatures w14:val="none"/>
        </w:rPr>
      </w:pPr>
    </w:p>
    <w:p w14:paraId="58AC63A9" w14:textId="77777777" w:rsidR="00D72822" w:rsidRDefault="00D72822" w:rsidP="00D72822">
      <w:pPr>
        <w:spacing w:after="10" w:line="248" w:lineRule="auto"/>
        <w:rPr>
          <w:rFonts w:ascii="Arial" w:hAnsi="Arial" w:cs="Arial"/>
          <w:kern w:val="0"/>
          <w:sz w:val="24"/>
          <w:szCs w:val="24"/>
          <w14:ligatures w14:val="none"/>
        </w:rPr>
      </w:pPr>
    </w:p>
    <w:p w14:paraId="6723A029" w14:textId="77777777" w:rsidR="00D72822" w:rsidRDefault="00D72822" w:rsidP="00D72822">
      <w:pPr>
        <w:spacing w:after="10" w:line="248" w:lineRule="auto"/>
        <w:rPr>
          <w:rFonts w:ascii="Arial" w:hAnsi="Arial" w:cs="Arial"/>
          <w:kern w:val="0"/>
          <w:sz w:val="24"/>
          <w:szCs w:val="24"/>
          <w14:ligatures w14:val="none"/>
        </w:rPr>
      </w:pPr>
    </w:p>
    <w:p w14:paraId="6EAA5820" w14:textId="77777777" w:rsidR="00D72822" w:rsidRDefault="00D72822" w:rsidP="00D72822">
      <w:pPr>
        <w:spacing w:after="10" w:line="248" w:lineRule="auto"/>
        <w:rPr>
          <w:rFonts w:ascii="Arial" w:hAnsi="Arial" w:cs="Arial"/>
          <w:kern w:val="0"/>
          <w:sz w:val="24"/>
          <w:szCs w:val="24"/>
          <w14:ligatures w14:val="none"/>
        </w:rPr>
      </w:pPr>
    </w:p>
    <w:p w14:paraId="6106EA02" w14:textId="77777777" w:rsidR="00D72822" w:rsidRPr="00D72822" w:rsidRDefault="00D72822" w:rsidP="00D72822">
      <w:pPr>
        <w:spacing w:after="10" w:line="248" w:lineRule="auto"/>
        <w:rPr>
          <w:rFonts w:ascii="Arial" w:hAnsi="Arial" w:cs="Arial"/>
          <w:kern w:val="0"/>
          <w:sz w:val="24"/>
          <w:szCs w:val="24"/>
          <w14:ligatures w14:val="none"/>
        </w:rPr>
      </w:pPr>
    </w:p>
    <w:p w14:paraId="3626632D" w14:textId="77777777" w:rsidR="00A93D96" w:rsidRPr="00D72822" w:rsidRDefault="00A93D96" w:rsidP="00A93D96">
      <w:pPr>
        <w:spacing w:after="10" w:line="248" w:lineRule="auto"/>
        <w:rPr>
          <w:rFonts w:ascii="Arial" w:hAnsi="Arial" w:cs="Arial"/>
          <w:kern w:val="0"/>
          <w:sz w:val="24"/>
          <w:szCs w:val="24"/>
          <w14:ligatures w14:val="none"/>
        </w:rPr>
      </w:pPr>
    </w:p>
    <w:tbl>
      <w:tblPr>
        <w:tblStyle w:val="TableGrid"/>
        <w:tblW w:w="5000" w:type="pct"/>
        <w:jc w:val="center"/>
        <w:tblLook w:val="04A0" w:firstRow="1" w:lastRow="0" w:firstColumn="1" w:lastColumn="0" w:noHBand="0" w:noVBand="1"/>
      </w:tblPr>
      <w:tblGrid>
        <w:gridCol w:w="2546"/>
        <w:gridCol w:w="7932"/>
      </w:tblGrid>
      <w:tr w:rsidR="00A93D96" w:rsidRPr="00D72822" w14:paraId="165F92A8" w14:textId="77777777" w:rsidTr="00D72822">
        <w:trPr>
          <w:jc w:val="center"/>
        </w:trPr>
        <w:tc>
          <w:tcPr>
            <w:tcW w:w="1215" w:type="pct"/>
          </w:tcPr>
          <w:bookmarkEnd w:id="4"/>
          <w:p w14:paraId="7AF8573F"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lastRenderedPageBreak/>
              <w:t>Medication</w:t>
            </w:r>
          </w:p>
        </w:tc>
        <w:tc>
          <w:tcPr>
            <w:tcW w:w="3785" w:type="pct"/>
          </w:tcPr>
          <w:p w14:paraId="243813E2"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Reinitiation</w:t>
            </w:r>
          </w:p>
        </w:tc>
      </w:tr>
      <w:tr w:rsidR="00A93D96" w:rsidRPr="00D72822" w14:paraId="122CA35B" w14:textId="77777777" w:rsidTr="00D72822">
        <w:trPr>
          <w:jc w:val="center"/>
        </w:trPr>
        <w:tc>
          <w:tcPr>
            <w:tcW w:w="1215" w:type="pct"/>
          </w:tcPr>
          <w:p w14:paraId="6B89EA6E"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Lisdexamfetamine (Elvanse </w:t>
            </w:r>
            <w:r w:rsidRPr="00D72822">
              <w:rPr>
                <w:rFonts w:ascii="Arial" w:hAnsi="Arial" w:cs="Arial"/>
                <w:sz w:val="24"/>
                <w:szCs w:val="24"/>
                <w:vertAlign w:val="superscript"/>
              </w:rPr>
              <w:t>®</w:t>
            </w:r>
            <w:r w:rsidRPr="00D72822">
              <w:rPr>
                <w:rFonts w:ascii="Arial" w:hAnsi="Arial" w:cs="Arial"/>
                <w:sz w:val="24"/>
                <w:szCs w:val="24"/>
              </w:rPr>
              <w:t>)</w:t>
            </w:r>
          </w:p>
        </w:tc>
        <w:tc>
          <w:tcPr>
            <w:tcW w:w="3785" w:type="pct"/>
          </w:tcPr>
          <w:p w14:paraId="24F36F08" w14:textId="77777777" w:rsidR="00A93D96" w:rsidRPr="00D72822" w:rsidRDefault="00A93D96" w:rsidP="00A93D96">
            <w:pPr>
              <w:rPr>
                <w:rFonts w:ascii="Arial" w:hAnsi="Arial" w:cs="Arial"/>
                <w:sz w:val="24"/>
                <w:szCs w:val="24"/>
              </w:rPr>
            </w:pPr>
            <w:r w:rsidRPr="00D72822">
              <w:rPr>
                <w:rFonts w:ascii="Arial" w:hAnsi="Arial" w:cs="Arial"/>
                <w:sz w:val="24"/>
                <w:szCs w:val="24"/>
              </w:rPr>
              <w:t>Initially 30 mg once daily, increased in steps of 20 mg every week until the original maintenance dose is achieved. Once stable check blood pressure and pulse. BP, pulse, and weight should be recorded at baseline.</w:t>
            </w:r>
          </w:p>
          <w:p w14:paraId="29F73D21" w14:textId="77777777" w:rsidR="00A93D96" w:rsidRPr="00D72822" w:rsidRDefault="00A93D96" w:rsidP="00A93D96">
            <w:pPr>
              <w:rPr>
                <w:rFonts w:ascii="Arial" w:hAnsi="Arial" w:cs="Arial"/>
                <w:sz w:val="24"/>
                <w:szCs w:val="24"/>
              </w:rPr>
            </w:pPr>
          </w:p>
          <w:p w14:paraId="0CF0EFD0" w14:textId="77777777" w:rsidR="00A93D96" w:rsidRPr="00D72822" w:rsidRDefault="00A93D96" w:rsidP="00A93D96">
            <w:pPr>
              <w:rPr>
                <w:rFonts w:ascii="Arial" w:hAnsi="Arial" w:cs="Arial"/>
                <w:sz w:val="24"/>
                <w:szCs w:val="24"/>
              </w:rPr>
            </w:pPr>
            <w:r w:rsidRPr="00D72822">
              <w:rPr>
                <w:rFonts w:ascii="Arial" w:hAnsi="Arial" w:cs="Arial"/>
                <w:sz w:val="24"/>
                <w:szCs w:val="24"/>
              </w:rPr>
              <w:t>(BP and pulse do not need to be checked before and after each dose change for people who have previously been established on a maintenance dose where treatment has ceased for less than 12 months and there is no significant change to their physical health status).</w:t>
            </w:r>
          </w:p>
        </w:tc>
      </w:tr>
    </w:tbl>
    <w:p w14:paraId="558394A7" w14:textId="77777777" w:rsidR="00A93D96" w:rsidRPr="00D72822" w:rsidRDefault="00A93D96" w:rsidP="00A93D96">
      <w:pPr>
        <w:rPr>
          <w:rFonts w:ascii="Arial" w:hAnsi="Arial" w:cs="Arial"/>
          <w:bCs/>
          <w:kern w:val="0"/>
          <w:sz w:val="24"/>
          <w:szCs w:val="24"/>
          <w14:ligatures w14:val="none"/>
        </w:rPr>
      </w:pPr>
    </w:p>
    <w:p w14:paraId="33EAA628" w14:textId="77777777" w:rsidR="00A93D96" w:rsidRPr="00D72822" w:rsidRDefault="00A93D96" w:rsidP="00A93D96">
      <w:pPr>
        <w:rPr>
          <w:rFonts w:ascii="Arial" w:hAnsi="Arial" w:cs="Arial"/>
          <w:b/>
          <w:bCs/>
          <w:kern w:val="0"/>
          <w:sz w:val="24"/>
          <w:szCs w:val="24"/>
          <w14:ligatures w14:val="none"/>
        </w:rPr>
      </w:pPr>
      <w:r w:rsidRPr="00D72822">
        <w:rPr>
          <w:rFonts w:ascii="Arial" w:hAnsi="Arial" w:cs="Arial"/>
          <w:b/>
          <w:bCs/>
          <w:kern w:val="0"/>
          <w:sz w:val="24"/>
          <w:szCs w:val="24"/>
          <w14:ligatures w14:val="none"/>
        </w:rPr>
        <w:br w:type="page"/>
      </w:r>
    </w:p>
    <w:p w14:paraId="4BF51E0E" w14:textId="77777777" w:rsidR="00A93D96" w:rsidRPr="00D72822" w:rsidRDefault="00A93D96" w:rsidP="00A93D96">
      <w:pPr>
        <w:spacing w:after="10" w:line="248" w:lineRule="auto"/>
        <w:rPr>
          <w:rFonts w:ascii="Arial" w:hAnsi="Arial" w:cs="Arial"/>
          <w:b/>
          <w:bCs/>
          <w:kern w:val="0"/>
          <w:sz w:val="28"/>
          <w:szCs w:val="28"/>
          <w14:ligatures w14:val="none"/>
        </w:rPr>
      </w:pPr>
      <w:r w:rsidRPr="00D72822">
        <w:rPr>
          <w:rFonts w:ascii="Arial" w:hAnsi="Arial" w:cs="Arial"/>
          <w:b/>
          <w:bCs/>
          <w:kern w:val="0"/>
          <w:sz w:val="28"/>
          <w:szCs w:val="28"/>
          <w14:ligatures w14:val="none"/>
        </w:rPr>
        <w:lastRenderedPageBreak/>
        <w:t xml:space="preserve">Guanfacine </w:t>
      </w:r>
    </w:p>
    <w:p w14:paraId="158ECA8B" w14:textId="77777777" w:rsidR="00A93D96" w:rsidRPr="00D72822" w:rsidRDefault="00A93D96" w:rsidP="00A93D96">
      <w:pPr>
        <w:spacing w:after="0"/>
        <w:rPr>
          <w:rFonts w:ascii="Arial" w:hAnsi="Arial" w:cs="Arial"/>
          <w:kern w:val="0"/>
          <w:sz w:val="24"/>
          <w:szCs w:val="24"/>
          <w14:ligatures w14:val="none"/>
        </w:rPr>
      </w:pPr>
      <w:r w:rsidRPr="00D72822">
        <w:rPr>
          <w:rFonts w:ascii="Arial" w:hAnsi="Arial" w:cs="Arial"/>
          <w:kern w:val="0"/>
          <w:sz w:val="24"/>
          <w:szCs w:val="24"/>
          <w14:ligatures w14:val="none"/>
        </w:rPr>
        <w:t xml:space="preserve"> </w:t>
      </w:r>
    </w:p>
    <w:p w14:paraId="21FCE69A" w14:textId="77777777" w:rsidR="00A93D96" w:rsidRPr="00D72822" w:rsidRDefault="00A93D96" w:rsidP="00D72822">
      <w:pPr>
        <w:spacing w:after="38" w:line="248"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Guanfacine is an alpha-2-agonist, and sometimes used as an alternative non-stimulant medication to atomoxetine. </w:t>
      </w:r>
    </w:p>
    <w:p w14:paraId="4A909AF4" w14:textId="77777777" w:rsidR="00D72822" w:rsidRPr="00D72822" w:rsidRDefault="00D72822" w:rsidP="00D72822">
      <w:pPr>
        <w:spacing w:after="38" w:line="248" w:lineRule="auto"/>
        <w:rPr>
          <w:rFonts w:ascii="Arial" w:hAnsi="Arial" w:cs="Arial"/>
          <w:kern w:val="0"/>
          <w:sz w:val="24"/>
          <w:szCs w:val="24"/>
          <w14:ligatures w14:val="none"/>
        </w:rPr>
      </w:pPr>
    </w:p>
    <w:p w14:paraId="7E276CF2" w14:textId="77777777" w:rsidR="00A93D96" w:rsidRPr="00D72822" w:rsidRDefault="00A93D96" w:rsidP="00D72822">
      <w:pPr>
        <w:spacing w:after="36" w:line="247"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There are no bioequivalents to guanfacine. Given the limited alternative options and </w:t>
      </w:r>
      <w:proofErr w:type="gramStart"/>
      <w:r w:rsidRPr="00D72822">
        <w:rPr>
          <w:rFonts w:ascii="Arial" w:hAnsi="Arial" w:cs="Arial"/>
          <w:kern w:val="0"/>
          <w:sz w:val="24"/>
          <w:szCs w:val="24"/>
          <w14:ligatures w14:val="none"/>
        </w:rPr>
        <w:t>considering the fact that</w:t>
      </w:r>
      <w:proofErr w:type="gramEnd"/>
      <w:r w:rsidRPr="00D72822">
        <w:rPr>
          <w:rFonts w:ascii="Arial" w:hAnsi="Arial" w:cs="Arial"/>
          <w:kern w:val="0"/>
          <w:sz w:val="24"/>
          <w:szCs w:val="24"/>
          <w14:ligatures w14:val="none"/>
        </w:rPr>
        <w:t xml:space="preserve"> the majority of patients on guanfacine will already have failed or been unable to tolerate other products it is likely that there will be no alternatives and patients will need to wait until stock levels return. </w:t>
      </w:r>
    </w:p>
    <w:p w14:paraId="498B794C" w14:textId="77777777" w:rsidR="00A93D96" w:rsidRPr="00D72822" w:rsidRDefault="00A93D96" w:rsidP="00D72822">
      <w:pPr>
        <w:spacing w:after="36" w:line="247"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Guanfacine should not be stopped abruptly because of the risk of rebound hypertension. </w:t>
      </w:r>
    </w:p>
    <w:p w14:paraId="04013842" w14:textId="77777777" w:rsidR="00D72822" w:rsidRPr="00D72822" w:rsidRDefault="00D72822" w:rsidP="00D72822">
      <w:pPr>
        <w:spacing w:after="36" w:line="247" w:lineRule="auto"/>
        <w:rPr>
          <w:rFonts w:ascii="Arial" w:hAnsi="Arial" w:cs="Arial"/>
          <w:kern w:val="0"/>
          <w:sz w:val="24"/>
          <w:szCs w:val="24"/>
          <w14:ligatures w14:val="none"/>
        </w:rPr>
      </w:pPr>
    </w:p>
    <w:p w14:paraId="06B93C58" w14:textId="2057D87D" w:rsidR="00A93D96" w:rsidRPr="00D72822" w:rsidRDefault="00A93D96" w:rsidP="00D72822">
      <w:pPr>
        <w:spacing w:after="36" w:line="247"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Hypertensive encephalopathy has been very rarely reported on abrupt cessation of treatment.  Most patients with this diagnosis have blood pressures </w:t>
      </w:r>
      <w:proofErr w:type="gramStart"/>
      <w:r w:rsidRPr="00D72822">
        <w:rPr>
          <w:rFonts w:ascii="Arial" w:hAnsi="Arial" w:cs="Arial"/>
          <w:kern w:val="0"/>
          <w:sz w:val="24"/>
          <w:szCs w:val="24"/>
          <w14:ligatures w14:val="none"/>
        </w:rPr>
        <w:t>in excess of</w:t>
      </w:r>
      <w:proofErr w:type="gramEnd"/>
      <w:r w:rsidRPr="00D72822">
        <w:rPr>
          <w:rFonts w:ascii="Arial" w:hAnsi="Arial" w:cs="Arial"/>
          <w:kern w:val="0"/>
          <w:sz w:val="24"/>
          <w:szCs w:val="24"/>
          <w14:ligatures w14:val="none"/>
        </w:rPr>
        <w:t xml:space="preserve"> 220/120 mm Hg. Contact patients prescribed guanfacine and advise them to reduce their dose gradually if their stock of medication at home allows.  Ideal tapering is to reduce in decrements of 1mg every 3 </w:t>
      </w:r>
      <w:r w:rsidRPr="00D72822">
        <w:rPr>
          <w:rFonts w:ascii="Arial" w:eastAsia="Calibri" w:hAnsi="Arial" w:cs="Arial"/>
          <w:kern w:val="0"/>
          <w:sz w:val="24"/>
          <w:szCs w:val="24"/>
          <w14:ligatures w14:val="none"/>
        </w:rPr>
        <w:t>–</w:t>
      </w:r>
      <w:r w:rsidRPr="00D72822">
        <w:rPr>
          <w:rFonts w:ascii="Arial" w:hAnsi="Arial" w:cs="Arial"/>
          <w:kern w:val="0"/>
          <w:sz w:val="24"/>
          <w:szCs w:val="24"/>
          <w14:ligatures w14:val="none"/>
        </w:rPr>
        <w:t xml:space="preserve"> 7 days.  </w:t>
      </w:r>
      <w:r w:rsidR="00D72822" w:rsidRPr="00D72822">
        <w:rPr>
          <w:rFonts w:ascii="Arial" w:hAnsi="Arial" w:cs="Arial"/>
          <w:kern w:val="0"/>
          <w:sz w:val="24"/>
          <w:szCs w:val="24"/>
          <w14:ligatures w14:val="none"/>
        </w:rPr>
        <w:t>e.g.</w:t>
      </w:r>
    </w:p>
    <w:p w14:paraId="1F4C4F5A" w14:textId="77777777" w:rsidR="00D72822" w:rsidRPr="00D72822" w:rsidRDefault="00D72822" w:rsidP="00D72822">
      <w:pPr>
        <w:spacing w:after="36" w:line="247" w:lineRule="auto"/>
        <w:rPr>
          <w:rFonts w:ascii="Arial" w:hAnsi="Arial" w:cs="Arial"/>
          <w:kern w:val="0"/>
          <w:sz w:val="24"/>
          <w:szCs w:val="24"/>
          <w14:ligatures w14:val="none"/>
        </w:rPr>
      </w:pPr>
    </w:p>
    <w:tbl>
      <w:tblPr>
        <w:tblStyle w:val="TableGrid"/>
        <w:tblW w:w="5000" w:type="pct"/>
        <w:jc w:val="center"/>
        <w:tblLook w:val="04A0" w:firstRow="1" w:lastRow="0" w:firstColumn="1" w:lastColumn="0" w:noHBand="0" w:noVBand="1"/>
      </w:tblPr>
      <w:tblGrid>
        <w:gridCol w:w="3325"/>
        <w:gridCol w:w="3720"/>
        <w:gridCol w:w="3433"/>
      </w:tblGrid>
      <w:tr w:rsidR="00A93D96" w:rsidRPr="00D72822" w14:paraId="5BA1D04A" w14:textId="77777777" w:rsidTr="00D72822">
        <w:trPr>
          <w:jc w:val="center"/>
        </w:trPr>
        <w:tc>
          <w:tcPr>
            <w:tcW w:w="1587" w:type="pct"/>
            <w:shd w:val="clear" w:color="auto" w:fill="D9D9D9" w:themeFill="background1" w:themeFillShade="D9"/>
          </w:tcPr>
          <w:p w14:paraId="0B4CA662"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Current prescription</w:t>
            </w:r>
          </w:p>
        </w:tc>
        <w:tc>
          <w:tcPr>
            <w:tcW w:w="1775" w:type="pct"/>
            <w:shd w:val="clear" w:color="auto" w:fill="D9D9D9" w:themeFill="background1" w:themeFillShade="D9"/>
          </w:tcPr>
          <w:p w14:paraId="1697A9BD"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Recommended tapering regime</w:t>
            </w:r>
          </w:p>
        </w:tc>
        <w:tc>
          <w:tcPr>
            <w:tcW w:w="1638" w:type="pct"/>
            <w:shd w:val="clear" w:color="auto" w:fill="D9D9D9" w:themeFill="background1" w:themeFillShade="D9"/>
          </w:tcPr>
          <w:p w14:paraId="53576A9C"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Supplies required</w:t>
            </w:r>
          </w:p>
        </w:tc>
      </w:tr>
      <w:tr w:rsidR="00A93D96" w:rsidRPr="00D72822" w14:paraId="68B5A938" w14:textId="77777777" w:rsidTr="00D72822">
        <w:trPr>
          <w:jc w:val="center"/>
        </w:trPr>
        <w:tc>
          <w:tcPr>
            <w:tcW w:w="1587" w:type="pct"/>
          </w:tcPr>
          <w:p w14:paraId="69C09D1E"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4mg OD</w:t>
            </w:r>
          </w:p>
        </w:tc>
        <w:tc>
          <w:tcPr>
            <w:tcW w:w="1775" w:type="pct"/>
          </w:tcPr>
          <w:p w14:paraId="1D5879DE"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3mg for 3 days then</w:t>
            </w:r>
          </w:p>
          <w:p w14:paraId="6647F7B0"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2mg for 3 days then</w:t>
            </w:r>
          </w:p>
          <w:p w14:paraId="71F6040F"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1mg for 3 days then</w:t>
            </w:r>
          </w:p>
          <w:p w14:paraId="0606AD96"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Stop treatment</w:t>
            </w:r>
          </w:p>
        </w:tc>
        <w:tc>
          <w:tcPr>
            <w:tcW w:w="1638" w:type="pct"/>
          </w:tcPr>
          <w:p w14:paraId="493E09F7"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6 x 2mg tablets</w:t>
            </w:r>
          </w:p>
          <w:p w14:paraId="6C112497"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6 x 1mg tablets</w:t>
            </w:r>
          </w:p>
        </w:tc>
      </w:tr>
      <w:tr w:rsidR="00A93D96" w:rsidRPr="00D72822" w14:paraId="199FAEF1" w14:textId="77777777" w:rsidTr="00D72822">
        <w:trPr>
          <w:jc w:val="center"/>
        </w:trPr>
        <w:tc>
          <w:tcPr>
            <w:tcW w:w="1587" w:type="pct"/>
          </w:tcPr>
          <w:p w14:paraId="1C29A6A2"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3mg OD</w:t>
            </w:r>
          </w:p>
        </w:tc>
        <w:tc>
          <w:tcPr>
            <w:tcW w:w="1775" w:type="pct"/>
          </w:tcPr>
          <w:p w14:paraId="04EA4DCD"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2mg for 3 days then</w:t>
            </w:r>
          </w:p>
          <w:p w14:paraId="2BB766C0"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1mg for 3 days then</w:t>
            </w:r>
          </w:p>
          <w:p w14:paraId="35ED8CD9"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Stop treatment</w:t>
            </w:r>
          </w:p>
        </w:tc>
        <w:tc>
          <w:tcPr>
            <w:tcW w:w="1638" w:type="pct"/>
          </w:tcPr>
          <w:p w14:paraId="7541240A"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3 x 2mg tablets</w:t>
            </w:r>
          </w:p>
          <w:p w14:paraId="5F109136"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3 x 1mg tablets</w:t>
            </w:r>
          </w:p>
        </w:tc>
      </w:tr>
      <w:tr w:rsidR="00A93D96" w:rsidRPr="00D72822" w14:paraId="6EE712CF" w14:textId="77777777" w:rsidTr="00D72822">
        <w:trPr>
          <w:jc w:val="center"/>
        </w:trPr>
        <w:tc>
          <w:tcPr>
            <w:tcW w:w="1587" w:type="pct"/>
          </w:tcPr>
          <w:p w14:paraId="1E0723BA"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2mg OD</w:t>
            </w:r>
          </w:p>
        </w:tc>
        <w:tc>
          <w:tcPr>
            <w:tcW w:w="1775" w:type="pct"/>
          </w:tcPr>
          <w:p w14:paraId="12F257B0"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1mg for 3 days then</w:t>
            </w:r>
          </w:p>
          <w:p w14:paraId="761AA87E"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Stop treatment</w:t>
            </w:r>
          </w:p>
        </w:tc>
        <w:tc>
          <w:tcPr>
            <w:tcW w:w="1638" w:type="pct"/>
          </w:tcPr>
          <w:p w14:paraId="77BED465"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3 x 1mg tablets</w:t>
            </w:r>
          </w:p>
        </w:tc>
      </w:tr>
      <w:tr w:rsidR="00A93D96" w:rsidRPr="00D72822" w14:paraId="740275DB" w14:textId="77777777" w:rsidTr="00D72822">
        <w:trPr>
          <w:jc w:val="center"/>
        </w:trPr>
        <w:tc>
          <w:tcPr>
            <w:tcW w:w="1587" w:type="pct"/>
          </w:tcPr>
          <w:p w14:paraId="31C99399"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Intuniv® 1mg OD</w:t>
            </w:r>
          </w:p>
        </w:tc>
        <w:tc>
          <w:tcPr>
            <w:tcW w:w="1775" w:type="pct"/>
          </w:tcPr>
          <w:p w14:paraId="1D302CED"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Stop treatment</w:t>
            </w:r>
          </w:p>
        </w:tc>
        <w:tc>
          <w:tcPr>
            <w:tcW w:w="1638" w:type="pct"/>
          </w:tcPr>
          <w:p w14:paraId="5C38397E" w14:textId="77777777" w:rsidR="00A93D96" w:rsidRPr="00D72822" w:rsidRDefault="00A93D96" w:rsidP="00A93D96">
            <w:pPr>
              <w:spacing w:after="36" w:line="247" w:lineRule="auto"/>
              <w:rPr>
                <w:rFonts w:ascii="Arial" w:hAnsi="Arial" w:cs="Arial"/>
                <w:sz w:val="24"/>
                <w:szCs w:val="24"/>
              </w:rPr>
            </w:pPr>
            <w:r w:rsidRPr="00D72822">
              <w:rPr>
                <w:rFonts w:ascii="Arial" w:hAnsi="Arial" w:cs="Arial"/>
                <w:sz w:val="24"/>
                <w:szCs w:val="24"/>
              </w:rPr>
              <w:t>Nil</w:t>
            </w:r>
          </w:p>
        </w:tc>
      </w:tr>
    </w:tbl>
    <w:p w14:paraId="1D703FA8" w14:textId="77777777" w:rsidR="00A93D96" w:rsidRPr="00D72822" w:rsidRDefault="00A93D96" w:rsidP="00A93D96">
      <w:pPr>
        <w:spacing w:after="36" w:line="247" w:lineRule="auto"/>
        <w:ind w:left="370"/>
        <w:rPr>
          <w:rFonts w:ascii="Arial" w:hAnsi="Arial" w:cs="Arial"/>
          <w:kern w:val="0"/>
          <w:sz w:val="24"/>
          <w:szCs w:val="24"/>
          <w14:ligatures w14:val="none"/>
        </w:rPr>
      </w:pPr>
      <w:r w:rsidRPr="00D72822">
        <w:rPr>
          <w:rFonts w:ascii="Arial" w:hAnsi="Arial" w:cs="Arial"/>
          <w:kern w:val="0"/>
          <w:sz w:val="24"/>
          <w:szCs w:val="24"/>
          <w14:ligatures w14:val="none"/>
        </w:rPr>
        <w:t xml:space="preserve"> </w:t>
      </w:r>
    </w:p>
    <w:p w14:paraId="0B59C806" w14:textId="77777777" w:rsidR="00D72822" w:rsidRDefault="00A93D96" w:rsidP="00D72822">
      <w:pPr>
        <w:spacing w:after="10" w:line="247"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If it is not possible to taper doses, monitor BP and HR on stopping.  The hypotensive effect of guanfacine may take about 2 </w:t>
      </w:r>
      <w:r w:rsidRPr="00D72822">
        <w:rPr>
          <w:rFonts w:ascii="Arial" w:eastAsia="Calibri" w:hAnsi="Arial" w:cs="Arial"/>
          <w:kern w:val="0"/>
          <w:sz w:val="24"/>
          <w:szCs w:val="24"/>
          <w14:ligatures w14:val="none"/>
        </w:rPr>
        <w:t>–</w:t>
      </w:r>
      <w:r w:rsidRPr="00D72822">
        <w:rPr>
          <w:rFonts w:ascii="Arial" w:hAnsi="Arial" w:cs="Arial"/>
          <w:kern w:val="0"/>
          <w:sz w:val="24"/>
          <w:szCs w:val="24"/>
          <w14:ligatures w14:val="none"/>
        </w:rPr>
        <w:t xml:space="preserve"> 4 days to resolve</w:t>
      </w:r>
      <w:r w:rsidRPr="00D72822">
        <w:rPr>
          <w:rFonts w:ascii="Arial" w:hAnsi="Arial" w:cs="Arial"/>
          <w:kern w:val="0"/>
          <w:sz w:val="24"/>
          <w:szCs w:val="24"/>
          <w:vertAlign w:val="superscript"/>
          <w14:ligatures w14:val="none"/>
        </w:rPr>
        <w:t>3,4</w:t>
      </w:r>
      <w:r w:rsidRPr="00D72822">
        <w:rPr>
          <w:rFonts w:ascii="Arial" w:hAnsi="Arial" w:cs="Arial"/>
          <w:kern w:val="0"/>
          <w:sz w:val="24"/>
          <w:szCs w:val="24"/>
          <w14:ligatures w14:val="none"/>
        </w:rPr>
        <w:t>.  Rebound hypertension may occur, and has been reported to persist in some cases</w:t>
      </w:r>
      <w:r w:rsidRPr="00D72822">
        <w:rPr>
          <w:rFonts w:ascii="Arial" w:hAnsi="Arial" w:cs="Arial"/>
          <w:kern w:val="0"/>
          <w:sz w:val="24"/>
          <w:szCs w:val="24"/>
          <w:vertAlign w:val="superscript"/>
          <w14:ligatures w14:val="none"/>
        </w:rPr>
        <w:t>5</w:t>
      </w:r>
      <w:r w:rsidRPr="00D72822">
        <w:rPr>
          <w:rFonts w:ascii="Arial" w:hAnsi="Arial" w:cs="Arial"/>
          <w:kern w:val="0"/>
          <w:sz w:val="24"/>
          <w:szCs w:val="24"/>
          <w14:ligatures w14:val="none"/>
        </w:rPr>
        <w:t>.  This is usually asymptomatic and clinically insignificant</w:t>
      </w:r>
      <w:r w:rsidRPr="00D72822">
        <w:rPr>
          <w:rFonts w:ascii="Arial" w:hAnsi="Arial" w:cs="Arial"/>
          <w:kern w:val="0"/>
          <w:sz w:val="24"/>
          <w:szCs w:val="24"/>
          <w:vertAlign w:val="superscript"/>
          <w14:ligatures w14:val="none"/>
        </w:rPr>
        <w:t>5,6</w:t>
      </w:r>
      <w:r w:rsidRPr="00D72822">
        <w:rPr>
          <w:rFonts w:ascii="Arial" w:hAnsi="Arial" w:cs="Arial"/>
          <w:kern w:val="0"/>
          <w:sz w:val="24"/>
          <w:szCs w:val="24"/>
          <w14:ligatures w14:val="none"/>
        </w:rPr>
        <w:t xml:space="preserve">. </w:t>
      </w:r>
    </w:p>
    <w:p w14:paraId="5F6B2AC3" w14:textId="77777777" w:rsidR="00D72822" w:rsidRDefault="00D72822" w:rsidP="00D72822">
      <w:pPr>
        <w:spacing w:after="10" w:line="247" w:lineRule="auto"/>
        <w:rPr>
          <w:rFonts w:ascii="Arial" w:hAnsi="Arial" w:cs="Arial"/>
          <w:kern w:val="0"/>
          <w:sz w:val="24"/>
          <w:szCs w:val="24"/>
          <w14:ligatures w14:val="none"/>
        </w:rPr>
      </w:pPr>
    </w:p>
    <w:p w14:paraId="319EFDB4" w14:textId="2D545175" w:rsidR="00D72822" w:rsidRPr="00D72822" w:rsidRDefault="00A93D96" w:rsidP="00D72822">
      <w:pPr>
        <w:spacing w:after="10" w:line="247" w:lineRule="auto"/>
        <w:rPr>
          <w:rFonts w:ascii="Arial" w:hAnsi="Arial" w:cs="Arial"/>
          <w:kern w:val="0"/>
          <w:sz w:val="24"/>
          <w:szCs w:val="24"/>
          <w14:ligatures w14:val="none"/>
        </w:rPr>
      </w:pPr>
      <w:r w:rsidRPr="00D72822">
        <w:rPr>
          <w:rFonts w:ascii="Arial" w:hAnsi="Arial" w:cs="Arial"/>
          <w:kern w:val="0"/>
          <w:sz w:val="24"/>
          <w:szCs w:val="24"/>
          <w14:ligatures w14:val="none"/>
        </w:rPr>
        <w:t>Patients who are required to discontinue Guanfacine abruptly should be advised by the community pharmacist to monitor BP and HR at day 2, and again at day 4, patients with blood pressures over 140/90 mmHg (either the systolic or the diastolic) should be referred to primary care for further monitoring.  If blood pressure is raised at day 4 (but not over 140/90 mmHg), measure again at weekly intervals until normal.  If there are signs of clinically significant rebound hypertension (</w:t>
      </w:r>
      <w:r w:rsidRPr="00D72822">
        <w:rPr>
          <w:rFonts w:ascii="Arial" w:hAnsi="Arial" w:cs="Arial"/>
          <w:color w:val="000000"/>
          <w:kern w:val="0"/>
          <w:sz w:val="24"/>
          <w:szCs w:val="24"/>
          <w:shd w:val="clear" w:color="auto" w:fill="FFFFFF"/>
          <w14:ligatures w14:val="none"/>
        </w:rPr>
        <w:t>altered mental status, visual abnormalities, headache, or seizures)</w:t>
      </w:r>
      <w:r w:rsidRPr="00D72822">
        <w:rPr>
          <w:rFonts w:ascii="Arial" w:hAnsi="Arial" w:cs="Arial"/>
          <w:kern w:val="0"/>
          <w:sz w:val="24"/>
          <w:szCs w:val="24"/>
          <w14:ligatures w14:val="none"/>
        </w:rPr>
        <w:t>, the pharmacist should alert primary care as per the existing protocols.</w:t>
      </w:r>
    </w:p>
    <w:p w14:paraId="7646D57D" w14:textId="120A5657" w:rsidR="00A93D96" w:rsidRPr="00D72822" w:rsidRDefault="00A93D96" w:rsidP="00D72822">
      <w:pPr>
        <w:spacing w:after="10" w:line="247" w:lineRule="auto"/>
        <w:rPr>
          <w:rFonts w:ascii="Arial" w:hAnsi="Arial" w:cs="Arial"/>
          <w:kern w:val="0"/>
          <w:sz w:val="24"/>
          <w:szCs w:val="24"/>
          <w14:ligatures w14:val="none"/>
        </w:rPr>
      </w:pPr>
      <w:r w:rsidRPr="00D72822">
        <w:rPr>
          <w:rFonts w:ascii="Arial" w:hAnsi="Arial" w:cs="Arial"/>
          <w:kern w:val="0"/>
          <w:sz w:val="24"/>
          <w:szCs w:val="24"/>
          <w14:ligatures w14:val="none"/>
        </w:rPr>
        <w:t xml:space="preserve"> </w:t>
      </w:r>
    </w:p>
    <w:p w14:paraId="3BBC4DDB" w14:textId="22791A95" w:rsidR="00A93D96" w:rsidRPr="00D72822" w:rsidRDefault="00A93D96" w:rsidP="00A93D96">
      <w:p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The following specialist importers have confirmed they can source unlicensed guanfacine prolonged-release tablets, lead times may vary (please note there may be other companies that can also source supplies):</w:t>
      </w:r>
    </w:p>
    <w:p w14:paraId="42038D8B" w14:textId="77777777" w:rsidR="00A93D96" w:rsidRPr="00D72822" w:rsidRDefault="00A93D96" w:rsidP="00A93D96">
      <w:pPr>
        <w:numPr>
          <w:ilvl w:val="0"/>
          <w:numId w:val="15"/>
        </w:numPr>
        <w:spacing w:after="0" w:line="240" w:lineRule="auto"/>
        <w:rPr>
          <w:rFonts w:ascii="Arial" w:eastAsia="Times New Roman" w:hAnsi="Arial" w:cs="Arial"/>
          <w:kern w:val="0"/>
          <w:sz w:val="24"/>
          <w:szCs w:val="24"/>
          <w14:ligatures w14:val="none"/>
        </w:rPr>
      </w:pPr>
      <w:r w:rsidRPr="00D72822">
        <w:rPr>
          <w:rFonts w:ascii="Arial" w:eastAsia="Times New Roman" w:hAnsi="Arial" w:cs="Arial"/>
          <w:kern w:val="0"/>
          <w:sz w:val="24"/>
          <w:szCs w:val="24"/>
          <w14:ligatures w14:val="none"/>
        </w:rPr>
        <w:t>Smartway</w:t>
      </w:r>
    </w:p>
    <w:p w14:paraId="1D59F62C" w14:textId="77777777" w:rsidR="00A93D96" w:rsidRPr="00D72822" w:rsidRDefault="00A93D96" w:rsidP="00A93D96">
      <w:pPr>
        <w:numPr>
          <w:ilvl w:val="0"/>
          <w:numId w:val="15"/>
        </w:numPr>
        <w:spacing w:after="0" w:line="240" w:lineRule="auto"/>
        <w:rPr>
          <w:rFonts w:ascii="Arial" w:eastAsia="Times New Roman" w:hAnsi="Arial" w:cs="Arial"/>
          <w:kern w:val="0"/>
          <w:sz w:val="24"/>
          <w:szCs w:val="24"/>
          <w14:ligatures w14:val="none"/>
        </w:rPr>
      </w:pPr>
      <w:r w:rsidRPr="00D72822">
        <w:rPr>
          <w:rFonts w:ascii="Arial" w:eastAsia="Times New Roman" w:hAnsi="Arial" w:cs="Arial"/>
          <w:kern w:val="0"/>
          <w:sz w:val="24"/>
          <w:szCs w:val="24"/>
          <w14:ligatures w14:val="none"/>
        </w:rPr>
        <w:t>Genetech</w:t>
      </w:r>
    </w:p>
    <w:p w14:paraId="1F45C64F" w14:textId="77777777" w:rsidR="00A93D96" w:rsidRPr="00D72822" w:rsidRDefault="00A93D96" w:rsidP="00A93D96">
      <w:pPr>
        <w:numPr>
          <w:ilvl w:val="0"/>
          <w:numId w:val="15"/>
        </w:numPr>
        <w:spacing w:after="0" w:line="240" w:lineRule="auto"/>
        <w:rPr>
          <w:rFonts w:ascii="Arial" w:eastAsia="Times New Roman" w:hAnsi="Arial" w:cs="Arial"/>
          <w:kern w:val="0"/>
          <w:sz w:val="24"/>
          <w:szCs w:val="24"/>
          <w14:ligatures w14:val="none"/>
        </w:rPr>
      </w:pPr>
      <w:r w:rsidRPr="00D72822">
        <w:rPr>
          <w:rFonts w:ascii="Arial" w:eastAsia="Times New Roman" w:hAnsi="Arial" w:cs="Arial"/>
          <w:kern w:val="0"/>
          <w:sz w:val="24"/>
          <w:szCs w:val="24"/>
          <w14:ligatures w14:val="none"/>
        </w:rPr>
        <w:lastRenderedPageBreak/>
        <w:t>Target</w:t>
      </w:r>
    </w:p>
    <w:p w14:paraId="52D593BF" w14:textId="77777777" w:rsidR="00A93D96" w:rsidRPr="00D72822" w:rsidRDefault="00A93D96" w:rsidP="00A93D96">
      <w:pPr>
        <w:numPr>
          <w:ilvl w:val="0"/>
          <w:numId w:val="15"/>
        </w:numPr>
        <w:spacing w:after="0" w:line="240" w:lineRule="auto"/>
        <w:rPr>
          <w:rFonts w:ascii="Arial" w:eastAsia="Times New Roman" w:hAnsi="Arial" w:cs="Arial"/>
          <w:kern w:val="0"/>
          <w:sz w:val="24"/>
          <w:szCs w:val="24"/>
          <w14:ligatures w14:val="none"/>
        </w:rPr>
      </w:pPr>
      <w:r w:rsidRPr="00D72822">
        <w:rPr>
          <w:rFonts w:ascii="Arial" w:eastAsia="Times New Roman" w:hAnsi="Arial" w:cs="Arial"/>
          <w:kern w:val="0"/>
          <w:sz w:val="24"/>
          <w:szCs w:val="24"/>
          <w14:ligatures w14:val="none"/>
        </w:rPr>
        <w:t>Alium</w:t>
      </w:r>
    </w:p>
    <w:p w14:paraId="6691F86D" w14:textId="77777777" w:rsidR="00A93D96" w:rsidRPr="00D72822" w:rsidRDefault="00A93D96" w:rsidP="00A93D96">
      <w:pPr>
        <w:spacing w:after="10" w:line="248" w:lineRule="auto"/>
        <w:rPr>
          <w:rFonts w:ascii="Arial" w:hAnsi="Arial" w:cs="Arial"/>
          <w:kern w:val="0"/>
          <w:sz w:val="24"/>
          <w:szCs w:val="24"/>
          <w14:ligatures w14:val="none"/>
        </w:rPr>
      </w:pPr>
    </w:p>
    <w:p w14:paraId="08F458F9" w14:textId="77777777" w:rsidR="00A93D96" w:rsidRPr="00D72822" w:rsidRDefault="00A93D96" w:rsidP="00D72822">
      <w:pPr>
        <w:spacing w:after="200" w:line="276" w:lineRule="auto"/>
        <w:contextualSpacing/>
        <w:rPr>
          <w:rFonts w:ascii="Arial" w:hAnsi="Arial" w:cs="Arial"/>
          <w:kern w:val="0"/>
          <w:sz w:val="24"/>
          <w:szCs w:val="24"/>
          <w14:ligatures w14:val="none"/>
        </w:rPr>
      </w:pPr>
      <w:bookmarkStart w:id="5" w:name="_Hlk147827643"/>
      <w:r w:rsidRPr="00D72822">
        <w:rPr>
          <w:rFonts w:ascii="Arial" w:hAnsi="Arial" w:cs="Arial"/>
          <w:kern w:val="0"/>
          <w:sz w:val="24"/>
          <w:szCs w:val="24"/>
          <w14:ligatures w14:val="none"/>
        </w:rPr>
        <w:t xml:space="preserve">Where a patient has had a treatment break greater than 4 days, they should build the dose up according to BNF guidance (see table below), with the aim of reestablishing the previous dose. </w:t>
      </w:r>
      <w:bookmarkEnd w:id="5"/>
      <w:r w:rsidRPr="00D72822">
        <w:rPr>
          <w:rFonts w:ascii="Arial" w:hAnsi="Arial" w:cs="Arial"/>
          <w:kern w:val="0"/>
          <w:sz w:val="24"/>
          <w:szCs w:val="24"/>
          <w14:ligatures w14:val="none"/>
        </w:rPr>
        <w:t>Medication must be reviewed to ensure no new medication has been added in the interim period that may interact. This can be done safety within primary care if resources and skills are available. Failing that, the patient can be referred to the specialist service for reinitiation but due to the limited resources this will result in a lengthy delay in reinitiation.</w:t>
      </w:r>
    </w:p>
    <w:p w14:paraId="21060719" w14:textId="77777777" w:rsidR="00A93D96" w:rsidRPr="00D72822" w:rsidRDefault="00A93D96" w:rsidP="00A93D96">
      <w:pPr>
        <w:spacing w:after="10" w:line="248" w:lineRule="auto"/>
        <w:ind w:left="360"/>
        <w:contextualSpacing/>
        <w:rPr>
          <w:rFonts w:ascii="Arial" w:hAnsi="Arial" w:cs="Arial"/>
          <w:kern w:val="0"/>
          <w:sz w:val="24"/>
          <w:szCs w:val="24"/>
          <w14:ligatures w14:val="none"/>
        </w:rPr>
      </w:pPr>
    </w:p>
    <w:tbl>
      <w:tblPr>
        <w:tblStyle w:val="TableGrid"/>
        <w:tblW w:w="5000" w:type="pct"/>
        <w:jc w:val="center"/>
        <w:tblLook w:val="04A0" w:firstRow="1" w:lastRow="0" w:firstColumn="1" w:lastColumn="0" w:noHBand="0" w:noVBand="1"/>
      </w:tblPr>
      <w:tblGrid>
        <w:gridCol w:w="2263"/>
        <w:gridCol w:w="8215"/>
      </w:tblGrid>
      <w:tr w:rsidR="00A93D96" w:rsidRPr="00D72822" w14:paraId="6D858DA1" w14:textId="77777777" w:rsidTr="00D72822">
        <w:trPr>
          <w:jc w:val="center"/>
        </w:trPr>
        <w:tc>
          <w:tcPr>
            <w:tcW w:w="1080" w:type="pct"/>
          </w:tcPr>
          <w:p w14:paraId="7F4B1E39"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Medication</w:t>
            </w:r>
          </w:p>
        </w:tc>
        <w:tc>
          <w:tcPr>
            <w:tcW w:w="3920" w:type="pct"/>
          </w:tcPr>
          <w:p w14:paraId="7FD3703B"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Reinitiation</w:t>
            </w:r>
          </w:p>
        </w:tc>
      </w:tr>
      <w:tr w:rsidR="00A93D96" w:rsidRPr="00D72822" w14:paraId="0F424AFF" w14:textId="77777777" w:rsidTr="00D72822">
        <w:trPr>
          <w:jc w:val="center"/>
        </w:trPr>
        <w:tc>
          <w:tcPr>
            <w:tcW w:w="1080" w:type="pct"/>
          </w:tcPr>
          <w:p w14:paraId="37973F9E" w14:textId="77777777" w:rsidR="00A93D96" w:rsidRPr="00D72822" w:rsidRDefault="00A93D96" w:rsidP="00A93D96">
            <w:pPr>
              <w:rPr>
                <w:rFonts w:ascii="Arial" w:hAnsi="Arial" w:cs="Arial"/>
                <w:sz w:val="24"/>
                <w:szCs w:val="24"/>
              </w:rPr>
            </w:pPr>
            <w:r w:rsidRPr="00D72822">
              <w:rPr>
                <w:rFonts w:ascii="Arial" w:hAnsi="Arial" w:cs="Arial"/>
                <w:sz w:val="24"/>
                <w:szCs w:val="24"/>
              </w:rPr>
              <w:t xml:space="preserve">Guanfacine </w:t>
            </w:r>
          </w:p>
        </w:tc>
        <w:tc>
          <w:tcPr>
            <w:tcW w:w="3920" w:type="pct"/>
          </w:tcPr>
          <w:p w14:paraId="40705A0E" w14:textId="77777777" w:rsidR="00A93D96" w:rsidRPr="00D72822" w:rsidRDefault="00A93D96" w:rsidP="00A93D96">
            <w:pPr>
              <w:rPr>
                <w:rFonts w:ascii="Arial" w:hAnsi="Arial" w:cs="Arial"/>
                <w:sz w:val="24"/>
                <w:szCs w:val="24"/>
              </w:rPr>
            </w:pPr>
            <w:r w:rsidRPr="00D72822">
              <w:rPr>
                <w:rFonts w:ascii="Arial" w:hAnsi="Arial" w:cs="Arial"/>
                <w:sz w:val="24"/>
                <w:szCs w:val="24"/>
              </w:rPr>
              <w:t>Initially 1 mg once daily; adjusted in steps of 1 mg every week until the original maintenance dose is achieved. Once stable check blood pressure and pulse. BP, pulse, and weight should be recorded at baseline.</w:t>
            </w:r>
          </w:p>
          <w:p w14:paraId="313B93C5" w14:textId="77777777" w:rsidR="00A93D96" w:rsidRPr="00D72822" w:rsidRDefault="00A93D96" w:rsidP="00A93D96">
            <w:pPr>
              <w:rPr>
                <w:rFonts w:ascii="Arial" w:hAnsi="Arial" w:cs="Arial"/>
                <w:sz w:val="24"/>
                <w:szCs w:val="24"/>
              </w:rPr>
            </w:pPr>
          </w:p>
          <w:p w14:paraId="55A0A762" w14:textId="77777777" w:rsidR="00A93D96" w:rsidRPr="00D72822" w:rsidRDefault="00A93D96" w:rsidP="00A93D96">
            <w:pPr>
              <w:rPr>
                <w:rFonts w:ascii="Arial" w:hAnsi="Arial" w:cs="Arial"/>
                <w:sz w:val="24"/>
                <w:szCs w:val="24"/>
              </w:rPr>
            </w:pPr>
            <w:r w:rsidRPr="00D72822">
              <w:rPr>
                <w:rFonts w:ascii="Arial" w:hAnsi="Arial" w:cs="Arial"/>
                <w:sz w:val="24"/>
                <w:szCs w:val="24"/>
              </w:rPr>
              <w:t>(BP and pulse do not need to be checked before and after each dose change for people who have previously been established on a maintenance dose where treatment has ceased for less than 12 months and there is no significant change to their physical health status).</w:t>
            </w:r>
          </w:p>
        </w:tc>
      </w:tr>
    </w:tbl>
    <w:p w14:paraId="7D43DDCB" w14:textId="77777777" w:rsidR="00A93D96" w:rsidRPr="00D72822" w:rsidRDefault="00A93D96" w:rsidP="00A93D96">
      <w:pPr>
        <w:spacing w:after="10" w:line="248" w:lineRule="auto"/>
        <w:rPr>
          <w:rFonts w:ascii="Arial" w:hAnsi="Arial" w:cs="Arial"/>
          <w:kern w:val="0"/>
          <w:sz w:val="24"/>
          <w:szCs w:val="24"/>
          <w14:ligatures w14:val="none"/>
        </w:rPr>
      </w:pPr>
    </w:p>
    <w:p w14:paraId="2FA0A7B0" w14:textId="77777777" w:rsidR="00A93D96" w:rsidRPr="00D72822" w:rsidRDefault="00A93D96" w:rsidP="00A93D96">
      <w:pPr>
        <w:rPr>
          <w:rFonts w:ascii="Arial" w:hAnsi="Arial" w:cs="Arial"/>
          <w:b/>
          <w:bCs/>
          <w:kern w:val="0"/>
          <w:sz w:val="24"/>
          <w:szCs w:val="24"/>
          <w14:ligatures w14:val="none"/>
        </w:rPr>
      </w:pPr>
      <w:r w:rsidRPr="00D72822">
        <w:rPr>
          <w:rFonts w:ascii="Arial" w:hAnsi="Arial" w:cs="Arial"/>
          <w:b/>
          <w:bCs/>
          <w:kern w:val="0"/>
          <w:sz w:val="24"/>
          <w:szCs w:val="24"/>
          <w14:ligatures w14:val="none"/>
        </w:rPr>
        <w:br w:type="page"/>
      </w:r>
    </w:p>
    <w:p w14:paraId="414DD6FD" w14:textId="77777777" w:rsidR="00A93D96" w:rsidRPr="00D72822" w:rsidRDefault="00A93D96" w:rsidP="00A93D96">
      <w:pPr>
        <w:spacing w:after="10" w:line="248" w:lineRule="auto"/>
        <w:rPr>
          <w:rFonts w:ascii="Arial" w:hAnsi="Arial" w:cs="Arial"/>
          <w:b/>
          <w:bCs/>
          <w:kern w:val="0"/>
          <w:sz w:val="28"/>
          <w:szCs w:val="28"/>
          <w14:ligatures w14:val="none"/>
        </w:rPr>
      </w:pPr>
      <w:r w:rsidRPr="00D72822">
        <w:rPr>
          <w:rFonts w:ascii="Arial" w:hAnsi="Arial" w:cs="Arial"/>
          <w:b/>
          <w:bCs/>
          <w:kern w:val="0"/>
          <w:sz w:val="28"/>
          <w:szCs w:val="28"/>
          <w14:ligatures w14:val="none"/>
        </w:rPr>
        <w:lastRenderedPageBreak/>
        <w:t>Atomoxetine</w:t>
      </w:r>
    </w:p>
    <w:p w14:paraId="623D8FC2" w14:textId="77777777" w:rsidR="00A93D96" w:rsidRPr="00D72822" w:rsidRDefault="00A93D96" w:rsidP="00A93D96">
      <w:pPr>
        <w:spacing w:after="10" w:line="248" w:lineRule="auto"/>
        <w:rPr>
          <w:rFonts w:ascii="Arial" w:hAnsi="Arial" w:cs="Arial"/>
          <w:b/>
          <w:bCs/>
          <w:kern w:val="0"/>
          <w:sz w:val="24"/>
          <w:szCs w:val="24"/>
          <w14:ligatures w14:val="none"/>
        </w:rPr>
      </w:pPr>
    </w:p>
    <w:p w14:paraId="7C99862D" w14:textId="00935A49" w:rsidR="00A93D96" w:rsidRPr="00D72822" w:rsidRDefault="00A93D96" w:rsidP="00D72822">
      <w:p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Atomoxetine is a selective norepinephrine reuptake inhibitor (SNRI).</w:t>
      </w:r>
      <w:r w:rsidR="00D72822">
        <w:rPr>
          <w:rFonts w:ascii="Arial" w:hAnsi="Arial" w:cs="Arial"/>
          <w:kern w:val="0"/>
          <w:sz w:val="24"/>
          <w:szCs w:val="24"/>
          <w14:ligatures w14:val="none"/>
        </w:rPr>
        <w:t xml:space="preserve"> </w:t>
      </w:r>
      <w:proofErr w:type="gramStart"/>
      <w:r w:rsidRPr="00D72822">
        <w:rPr>
          <w:rFonts w:ascii="Arial" w:hAnsi="Arial" w:cs="Arial"/>
          <w:kern w:val="0"/>
          <w:sz w:val="24"/>
          <w:szCs w:val="24"/>
          <w14:ligatures w14:val="none"/>
        </w:rPr>
        <w:t>There</w:t>
      </w:r>
      <w:proofErr w:type="gramEnd"/>
      <w:r w:rsidRPr="00D72822">
        <w:rPr>
          <w:rFonts w:ascii="Arial" w:hAnsi="Arial" w:cs="Arial"/>
          <w:kern w:val="0"/>
          <w:sz w:val="24"/>
          <w:szCs w:val="24"/>
          <w14:ligatures w14:val="none"/>
        </w:rPr>
        <w:t xml:space="preserve"> have been supply issues with atomoxetine over recent months.</w:t>
      </w:r>
    </w:p>
    <w:p w14:paraId="367C3CA4" w14:textId="77777777" w:rsidR="00D72822" w:rsidRPr="00D72822" w:rsidRDefault="00D72822" w:rsidP="00D72822">
      <w:pPr>
        <w:spacing w:after="10" w:line="248" w:lineRule="auto"/>
        <w:rPr>
          <w:rFonts w:ascii="Arial" w:hAnsi="Arial" w:cs="Arial"/>
          <w:kern w:val="0"/>
          <w:sz w:val="24"/>
          <w:szCs w:val="24"/>
          <w14:ligatures w14:val="none"/>
        </w:rPr>
      </w:pPr>
    </w:p>
    <w:p w14:paraId="28BD5A45" w14:textId="77777777" w:rsidR="00A93D96" w:rsidRPr="00D72822" w:rsidRDefault="00A93D96" w:rsidP="00D72822">
      <w:p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Atomoxetine can be discontinued without side effects, but ADHD symptoms are likely to return.</w:t>
      </w:r>
    </w:p>
    <w:p w14:paraId="033CCE87" w14:textId="77777777" w:rsidR="00A93D96" w:rsidRPr="00D72822" w:rsidRDefault="00A93D96" w:rsidP="00D72822">
      <w:pPr>
        <w:spacing w:after="10" w:line="248" w:lineRule="auto"/>
        <w:rPr>
          <w:rFonts w:ascii="Arial" w:hAnsi="Arial" w:cs="Arial"/>
          <w:kern w:val="0"/>
          <w:sz w:val="24"/>
          <w:szCs w:val="24"/>
          <w14:ligatures w14:val="none"/>
        </w:rPr>
      </w:pPr>
      <w:r w:rsidRPr="00D72822">
        <w:rPr>
          <w:rFonts w:ascii="Arial" w:hAnsi="Arial" w:cs="Arial"/>
          <w:kern w:val="0"/>
          <w:sz w:val="24"/>
          <w:szCs w:val="24"/>
          <w14:ligatures w14:val="none"/>
        </w:rPr>
        <w:t>Patients initiated on atomoxetine usually will have either have failed to respond to stimulants (methylphenidate / dexamfetamine) or will have had reasons that prohibited them from the use of stimulants. As such, those unable to source atomoxetine will have very limited options.</w:t>
      </w:r>
    </w:p>
    <w:p w14:paraId="4A7E06C0" w14:textId="77777777" w:rsidR="00D72822" w:rsidRPr="00D72822" w:rsidRDefault="00D72822" w:rsidP="00D72822">
      <w:pPr>
        <w:spacing w:after="10" w:line="248" w:lineRule="auto"/>
        <w:rPr>
          <w:rFonts w:ascii="Arial" w:hAnsi="Arial" w:cs="Arial"/>
          <w:kern w:val="0"/>
          <w:sz w:val="24"/>
          <w:szCs w:val="24"/>
          <w14:ligatures w14:val="none"/>
        </w:rPr>
      </w:pPr>
    </w:p>
    <w:p w14:paraId="4ECBD321" w14:textId="77777777" w:rsidR="00A93D96" w:rsidRPr="00D72822" w:rsidRDefault="00A93D96" w:rsidP="00D72822">
      <w:pPr>
        <w:spacing w:after="200" w:line="276" w:lineRule="auto"/>
        <w:rPr>
          <w:rFonts w:ascii="Arial" w:hAnsi="Arial" w:cs="Arial"/>
          <w:kern w:val="0"/>
          <w:sz w:val="24"/>
          <w:szCs w:val="24"/>
          <w14:ligatures w14:val="none"/>
        </w:rPr>
      </w:pPr>
      <w:r w:rsidRPr="00D72822">
        <w:rPr>
          <w:rFonts w:ascii="Arial" w:hAnsi="Arial" w:cs="Arial"/>
          <w:kern w:val="0"/>
          <w:sz w:val="24"/>
          <w:szCs w:val="24"/>
          <w14:ligatures w14:val="none"/>
        </w:rPr>
        <w:t>Where a patient has had a treatment break greater than 4 days, they should build the dose up according to BNF guidance (see table below), with the aim of reestablishing the previous dose. Medication must be reviewed to ensure no new medication has been added in the interim period that may interact. This can be done safety within primary care if resources and skills are available. Failing that, the patient can be referred to the specialist service for reinitiation but due to the limited resources this will result in a lengthy delay in reinitiation.</w:t>
      </w:r>
    </w:p>
    <w:p w14:paraId="7C6F7AC5" w14:textId="77777777" w:rsidR="00A93D96" w:rsidRPr="00D72822" w:rsidRDefault="00A93D96" w:rsidP="00A93D96">
      <w:pPr>
        <w:spacing w:after="10" w:line="248" w:lineRule="auto"/>
        <w:ind w:left="720"/>
        <w:contextualSpacing/>
        <w:rPr>
          <w:rFonts w:ascii="Arial" w:hAnsi="Arial" w:cs="Arial"/>
          <w:kern w:val="0"/>
          <w:sz w:val="24"/>
          <w:szCs w:val="24"/>
          <w14:ligatures w14:val="none"/>
        </w:rPr>
      </w:pPr>
    </w:p>
    <w:tbl>
      <w:tblPr>
        <w:tblStyle w:val="TableGrid"/>
        <w:tblW w:w="5000" w:type="pct"/>
        <w:jc w:val="center"/>
        <w:tblLook w:val="04A0" w:firstRow="1" w:lastRow="0" w:firstColumn="1" w:lastColumn="0" w:noHBand="0" w:noVBand="1"/>
      </w:tblPr>
      <w:tblGrid>
        <w:gridCol w:w="2406"/>
        <w:gridCol w:w="8072"/>
      </w:tblGrid>
      <w:tr w:rsidR="00A93D96" w:rsidRPr="00D72822" w14:paraId="06D92B8B" w14:textId="77777777" w:rsidTr="00D72822">
        <w:trPr>
          <w:jc w:val="center"/>
        </w:trPr>
        <w:tc>
          <w:tcPr>
            <w:tcW w:w="1148" w:type="pct"/>
          </w:tcPr>
          <w:p w14:paraId="5BC5C9FB"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Medication</w:t>
            </w:r>
          </w:p>
        </w:tc>
        <w:tc>
          <w:tcPr>
            <w:tcW w:w="3852" w:type="pct"/>
          </w:tcPr>
          <w:p w14:paraId="4DE28A1C" w14:textId="77777777" w:rsidR="00A93D96" w:rsidRPr="00D72822" w:rsidRDefault="00A93D96" w:rsidP="00A93D96">
            <w:pPr>
              <w:rPr>
                <w:rFonts w:ascii="Arial" w:hAnsi="Arial" w:cs="Arial"/>
                <w:b/>
                <w:bCs/>
                <w:sz w:val="24"/>
                <w:szCs w:val="24"/>
              </w:rPr>
            </w:pPr>
            <w:r w:rsidRPr="00D72822">
              <w:rPr>
                <w:rFonts w:ascii="Arial" w:hAnsi="Arial" w:cs="Arial"/>
                <w:b/>
                <w:bCs/>
                <w:sz w:val="24"/>
                <w:szCs w:val="24"/>
              </w:rPr>
              <w:t>Reinitiation</w:t>
            </w:r>
          </w:p>
        </w:tc>
      </w:tr>
      <w:tr w:rsidR="00A93D96" w:rsidRPr="00D72822" w14:paraId="661121DE" w14:textId="77777777" w:rsidTr="00D72822">
        <w:trPr>
          <w:jc w:val="center"/>
        </w:trPr>
        <w:tc>
          <w:tcPr>
            <w:tcW w:w="1148" w:type="pct"/>
          </w:tcPr>
          <w:p w14:paraId="54681F07" w14:textId="77777777" w:rsidR="00A93D96" w:rsidRPr="00D72822" w:rsidRDefault="00A93D96" w:rsidP="00A93D96">
            <w:pPr>
              <w:rPr>
                <w:rFonts w:ascii="Arial" w:hAnsi="Arial" w:cs="Arial"/>
                <w:sz w:val="24"/>
                <w:szCs w:val="24"/>
              </w:rPr>
            </w:pPr>
            <w:r w:rsidRPr="00D72822">
              <w:rPr>
                <w:rFonts w:ascii="Arial" w:hAnsi="Arial" w:cs="Arial"/>
                <w:sz w:val="24"/>
                <w:szCs w:val="24"/>
              </w:rPr>
              <w:t>Atomoxetine</w:t>
            </w:r>
          </w:p>
        </w:tc>
        <w:tc>
          <w:tcPr>
            <w:tcW w:w="3852" w:type="pct"/>
          </w:tcPr>
          <w:p w14:paraId="480022F8" w14:textId="2FFB45E3" w:rsidR="00A93D96" w:rsidRPr="00D72822" w:rsidRDefault="00A93D96" w:rsidP="00A93D96">
            <w:pPr>
              <w:rPr>
                <w:rFonts w:ascii="Arial" w:hAnsi="Arial" w:cs="Arial"/>
                <w:sz w:val="24"/>
                <w:szCs w:val="24"/>
              </w:rPr>
            </w:pPr>
            <w:r w:rsidRPr="00D72822">
              <w:rPr>
                <w:rFonts w:ascii="Arial" w:hAnsi="Arial" w:cs="Arial"/>
                <w:sz w:val="24"/>
                <w:szCs w:val="24"/>
              </w:rPr>
              <w:t>Initially 40 mg daily for 7 days, dose is increased weekly by 40mg until the original maintenance dose is achieved. Once stable check blood pressure and pulse.</w:t>
            </w:r>
          </w:p>
          <w:p w14:paraId="484A50F8" w14:textId="77777777" w:rsidR="00A93D96" w:rsidRPr="00D72822" w:rsidRDefault="00A93D96" w:rsidP="00A93D96">
            <w:pPr>
              <w:rPr>
                <w:rFonts w:ascii="Arial" w:hAnsi="Arial" w:cs="Arial"/>
                <w:sz w:val="24"/>
                <w:szCs w:val="24"/>
              </w:rPr>
            </w:pPr>
            <w:r w:rsidRPr="00D72822">
              <w:rPr>
                <w:rFonts w:ascii="Arial" w:hAnsi="Arial" w:cs="Arial"/>
                <w:sz w:val="24"/>
                <w:szCs w:val="24"/>
              </w:rPr>
              <w:t>(BP and pulse do not need to be checked before and after each dose change for people who have previously been established on a maintenance dose where treatment has ceased for less than 12 months and there is no significant change to their physical health status).</w:t>
            </w:r>
          </w:p>
        </w:tc>
      </w:tr>
    </w:tbl>
    <w:p w14:paraId="3A4D3171" w14:textId="77777777" w:rsidR="00A93D96" w:rsidRPr="00D72822" w:rsidRDefault="00A93D96" w:rsidP="00A93D96">
      <w:pPr>
        <w:rPr>
          <w:rFonts w:ascii="Arial" w:hAnsi="Arial" w:cs="Arial"/>
          <w:sz w:val="24"/>
          <w:szCs w:val="24"/>
        </w:rPr>
      </w:pPr>
    </w:p>
    <w:p w14:paraId="69570287" w14:textId="77777777" w:rsidR="00A93D96" w:rsidRPr="00D72822" w:rsidRDefault="00A93D96" w:rsidP="00A93D96">
      <w:pPr>
        <w:rPr>
          <w:rFonts w:ascii="Arial" w:hAnsi="Arial" w:cs="Arial"/>
          <w:sz w:val="24"/>
          <w:szCs w:val="24"/>
        </w:rPr>
      </w:pPr>
    </w:p>
    <w:p w14:paraId="5684B2C7" w14:textId="77777777" w:rsidR="00A61F04" w:rsidRPr="00D72822" w:rsidRDefault="00A61F04" w:rsidP="00A93D96">
      <w:pPr>
        <w:rPr>
          <w:rFonts w:ascii="Arial" w:hAnsi="Arial" w:cs="Arial"/>
          <w:sz w:val="24"/>
          <w:szCs w:val="24"/>
        </w:rPr>
      </w:pPr>
    </w:p>
    <w:sectPr w:rsidR="00A61F04" w:rsidRPr="00D72822" w:rsidSect="00181FD5">
      <w:footerReference w:type="default" r:id="rId13"/>
      <w:headerReference w:type="first" r:id="rId14"/>
      <w:footerReference w:type="first" r:id="rId15"/>
      <w:pgSz w:w="11906" w:h="16838" w:code="9"/>
      <w:pgMar w:top="1134" w:right="567" w:bottom="1440" w:left="851" w:header="90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7386" w14:textId="77777777" w:rsidR="006D4821" w:rsidRDefault="006D4821">
      <w:r>
        <w:separator/>
      </w:r>
    </w:p>
  </w:endnote>
  <w:endnote w:type="continuationSeparator" w:id="0">
    <w:p w14:paraId="5C765981" w14:textId="77777777" w:rsidR="006D4821" w:rsidRDefault="006D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4747" w14:textId="339E24F2" w:rsidR="005E093C" w:rsidRPr="00D72822" w:rsidRDefault="00687AD6" w:rsidP="00406F09">
    <w:pPr>
      <w:pStyle w:val="Footer"/>
      <w:rPr>
        <w:sz w:val="24"/>
        <w:szCs w:val="24"/>
      </w:rPr>
    </w:pPr>
    <w:r w:rsidRPr="00D72822">
      <w:rPr>
        <w:noProof/>
        <w:sz w:val="24"/>
        <w:szCs w:val="24"/>
        <w:lang w:eastAsia="en-GB"/>
      </w:rPr>
      <mc:AlternateContent>
        <mc:Choice Requires="wps">
          <w:drawing>
            <wp:anchor distT="0" distB="0" distL="114300" distR="114300" simplePos="0" relativeHeight="251658752" behindDoc="0" locked="0" layoutInCell="1" allowOverlap="1" wp14:anchorId="13F78743" wp14:editId="43AE37C1">
              <wp:simplePos x="0" y="0"/>
              <wp:positionH relativeFrom="page">
                <wp:posOffset>360045</wp:posOffset>
              </wp:positionH>
              <wp:positionV relativeFrom="page">
                <wp:posOffset>9839960</wp:posOffset>
              </wp:positionV>
              <wp:extent cx="6840220" cy="360045"/>
              <wp:effectExtent l="0" t="635" r="635" b="12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54F8" id="Rectangle 16" o:spid="_x0000_s1026" style="position:absolute;margin-left:28.35pt;margin-top:774.8pt;width:538.6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6AEAALUDAAAOAAAAZHJzL2Uyb0RvYy54bWysU9uO0zAQfUfiHyy/06QlLSVqulq6LEJa&#10;LtLCBziOk1g4HjN2m5avZ+x0uxW8IV4sj8c+M+fM8ebmOBh2UOg12IrPZzlnykpotO0q/v3b/as1&#10;Zz4I2wgDVlX8pDy/2b58sRldqRbQg2kUMgKxvhxdxfsQXJllXvZqEH4GTllKtoCDCBRilzUoRkIf&#10;TLbI81U2AjYOQSrv6fRuSvJtwm9bJcOXtvUqMFNx6i2kFdNaxzXbbkTZoXC9luc2xD90MQhtqegF&#10;6k4Ewfao/4IatETw0IaZhCGDttVSJQ7EZp7/weaxF04lLiSOdxeZ/P+DlZ8Pj+4rxta9ewD5wzML&#10;u17YTt0iwtgr0VC5eRQqG50vLw9i4Okpq8dP0NBoxT5A0uDY4hABiR07JqlPF6nVMTBJh6t1kS8W&#10;NBFJuderPC+WqYQon1479OGDgoHFTcWRRpnQxeHBh9iNKJ+upO7B6OZeG5MC7OqdQXYQcez58v27&#10;9RndX18zNl62EJ9NiPEk0YzMool8WUNzIpYIk3fI67TpAX9xNpJvKu5/7gUqzsxHS0q9nRdFNFoK&#10;iuWbyBGvM/V1RlhJUBUPnE3bXZjMuXeou54qzRNpC7ekbqsT8eeuzs2SN5IeZx9H813H6dbzb9v+&#10;BgAA//8DAFBLAwQUAAYACAAAACEArpz00OMAAAANAQAADwAAAGRycy9kb3ducmV2LnhtbEyPPU/D&#10;MBCGdyT+g3VILKh10lBDQ5wKUZUOsCRFsLrxkUSN7Sh2m/DvuU6w3cej957L1pPp2BkH3zorIZ5H&#10;wNBWTre2lvCx384egfmgrFadsyjhBz2s8+urTKXajbbAcxlqRiHWp0pCE0Kfcu6rBo3yc9ejpd23&#10;G4wK1A4114MaKdx0fBFFghvVWrrQqB5fGqyO5clI2O4+i/dSb6Z4Mx7fiq+713hoF1Le3kzPT8AC&#10;TuEPhos+qUNOTgd3stqzTsJSPBBJ8+X9SgC7EHGSrIAdqBKRSIDnGf//Rf4LAAD//wMAUEsBAi0A&#10;FAAGAAgAAAAhALaDOJL+AAAA4QEAABMAAAAAAAAAAAAAAAAAAAAAAFtDb250ZW50X1R5cGVzXS54&#10;bWxQSwECLQAUAAYACAAAACEAOP0h/9YAAACUAQAACwAAAAAAAAAAAAAAAAAvAQAAX3JlbHMvLnJl&#10;bHNQSwECLQAUAAYACAAAACEAd3G/hugBAAC1AwAADgAAAAAAAAAAAAAAAAAuAgAAZHJzL2Uyb0Rv&#10;Yy54bWxQSwECLQAUAAYACAAAACEArpz00OMAAAANAQAADwAAAAAAAAAAAAAAAABCBAAAZHJzL2Rv&#10;d25yZXYueG1sUEsFBgAAAAAEAAQA8wAAAFIFAAAAAA==&#10;" fillcolor="#005eb8" stroked="f">
              <w10:wrap anchorx="page" anchory="page"/>
            </v:rect>
          </w:pict>
        </mc:Fallback>
      </mc:AlternateContent>
    </w:r>
    <w:r w:rsidR="00406F09" w:rsidRPr="00D72822">
      <w:rPr>
        <w:sz w:val="24"/>
        <w:szCs w:val="24"/>
      </w:rPr>
      <w:t xml:space="preserve">Page </w:t>
    </w:r>
    <w:r w:rsidR="00406F09" w:rsidRPr="00D72822">
      <w:rPr>
        <w:b/>
        <w:bCs/>
        <w:sz w:val="24"/>
        <w:szCs w:val="24"/>
      </w:rPr>
      <w:fldChar w:fldCharType="begin"/>
    </w:r>
    <w:r w:rsidR="00406F09" w:rsidRPr="00D72822">
      <w:rPr>
        <w:b/>
        <w:bCs/>
        <w:sz w:val="24"/>
        <w:szCs w:val="24"/>
      </w:rPr>
      <w:instrText xml:space="preserve"> PAGE </w:instrText>
    </w:r>
    <w:r w:rsidR="00406F09" w:rsidRPr="00D72822">
      <w:rPr>
        <w:b/>
        <w:bCs/>
        <w:sz w:val="24"/>
        <w:szCs w:val="24"/>
      </w:rPr>
      <w:fldChar w:fldCharType="separate"/>
    </w:r>
    <w:r w:rsidR="00A61F04" w:rsidRPr="00D72822">
      <w:rPr>
        <w:b/>
        <w:bCs/>
        <w:noProof/>
        <w:sz w:val="24"/>
        <w:szCs w:val="24"/>
      </w:rPr>
      <w:t>2</w:t>
    </w:r>
    <w:r w:rsidR="00406F09" w:rsidRPr="00D72822">
      <w:rPr>
        <w:b/>
        <w:bCs/>
        <w:sz w:val="24"/>
        <w:szCs w:val="24"/>
      </w:rPr>
      <w:fldChar w:fldCharType="end"/>
    </w:r>
    <w:r w:rsidR="00406F09" w:rsidRPr="00D72822">
      <w:rPr>
        <w:sz w:val="24"/>
        <w:szCs w:val="24"/>
      </w:rPr>
      <w:t xml:space="preserve"> of </w:t>
    </w:r>
    <w:r w:rsidR="00406F09" w:rsidRPr="00D72822">
      <w:rPr>
        <w:b/>
        <w:bCs/>
        <w:sz w:val="24"/>
        <w:szCs w:val="24"/>
      </w:rPr>
      <w:fldChar w:fldCharType="begin"/>
    </w:r>
    <w:r w:rsidR="00406F09" w:rsidRPr="00D72822">
      <w:rPr>
        <w:b/>
        <w:bCs/>
        <w:sz w:val="24"/>
        <w:szCs w:val="24"/>
      </w:rPr>
      <w:instrText xml:space="preserve"> NUMPAGES  </w:instrText>
    </w:r>
    <w:r w:rsidR="00406F09" w:rsidRPr="00D72822">
      <w:rPr>
        <w:b/>
        <w:bCs/>
        <w:sz w:val="24"/>
        <w:szCs w:val="24"/>
      </w:rPr>
      <w:fldChar w:fldCharType="separate"/>
    </w:r>
    <w:r w:rsidR="00A61F04" w:rsidRPr="00D72822">
      <w:rPr>
        <w:b/>
        <w:bCs/>
        <w:noProof/>
        <w:sz w:val="24"/>
        <w:szCs w:val="24"/>
      </w:rPr>
      <w:t>2</w:t>
    </w:r>
    <w:r w:rsidR="00406F09" w:rsidRPr="00D72822">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0532" w14:textId="7B32F614" w:rsidR="00362A5F" w:rsidRDefault="00D72822" w:rsidP="00406F09">
    <w:pPr>
      <w:pStyle w:val="Footer"/>
    </w:pPr>
    <w:r>
      <w:rPr>
        <w:noProof/>
        <w:lang w:eastAsia="en-GB"/>
      </w:rPr>
      <mc:AlternateContent>
        <mc:Choice Requires="wps">
          <w:drawing>
            <wp:anchor distT="0" distB="0" distL="114300" distR="114300" simplePos="0" relativeHeight="251655680" behindDoc="0" locked="0" layoutInCell="1" allowOverlap="1" wp14:anchorId="268A362B" wp14:editId="5E9E9B68">
              <wp:simplePos x="0" y="0"/>
              <wp:positionH relativeFrom="page">
                <wp:posOffset>493395</wp:posOffset>
              </wp:positionH>
              <wp:positionV relativeFrom="page">
                <wp:posOffset>9887585</wp:posOffset>
              </wp:positionV>
              <wp:extent cx="6840220" cy="360045"/>
              <wp:effectExtent l="0" t="635" r="635" b="127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D7CE0" id="Rectangle 14" o:spid="_x0000_s1026" style="position:absolute;margin-left:38.85pt;margin-top:778.55pt;width:538.6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6AEAALUDAAAOAAAAZHJzL2Uyb0RvYy54bWysU9uO0zAQfUfiHyy/06QlLSVqulq6LEJa&#10;LtLCBziOk1g4HjN2m5avZ+x0uxW8IV4sj8c+M+fM8ebmOBh2UOg12IrPZzlnykpotO0q/v3b/as1&#10;Zz4I2wgDVlX8pDy/2b58sRldqRbQg2kUMgKxvhxdxfsQXJllXvZqEH4GTllKtoCDCBRilzUoRkIf&#10;TLbI81U2AjYOQSrv6fRuSvJtwm9bJcOXtvUqMFNx6i2kFdNaxzXbbkTZoXC9luc2xD90MQhtqegF&#10;6k4Ewfao/4IatETw0IaZhCGDttVSJQ7EZp7/weaxF04lLiSOdxeZ/P+DlZ8Pj+4rxta9ewD5wzML&#10;u17YTt0iwtgr0VC5eRQqG50vLw9i4Okpq8dP0NBoxT5A0uDY4hABiR07JqlPF6nVMTBJh6t1kS8W&#10;NBFJuderPC+WqYQon1479OGDgoHFTcWRRpnQxeHBh9iNKJ+upO7B6OZeG5MC7OqdQXYQcez58v27&#10;9RndX18zNl62EJ9NiPEk0YzMool8WUNzIpYIk3fI67TpAX9xNpJvKu5/7gUqzsxHS0q9nRdFNFoK&#10;iuWbyBGvM/V1RlhJUBUPnE3bXZjMuXeou54qzRNpC7ekbqsT8eeuzs2SN5IeZx9H813H6dbzb9v+&#10;BgAA//8DAFBLAwQUAAYACAAAACEAGzPPY+MAAAANAQAADwAAAGRycy9kb3ducmV2LnhtbEyPPU/D&#10;MBCGdyT+g3VILKh1XEhTQpwKUZUOsCRFsLrxkUSN7Sh2m/DvuU6w3cej957L1pPp2BkH3zorQcwj&#10;YGgrp1tbS/jYb2crYD4oq1XnLEr4QQ/r/PoqU6l2oy3wXIaaUYj1qZLQhNCnnPuqQaP83PVoafft&#10;BqMCtUPN9aBGCjcdX0TRkhvVWrrQqB5fGqyO5clI2O4+i/dSbyaxGY9vxdfdqxjahZS3N9PzE7CA&#10;U/iD4aJP6pCT08GdrPask5AkCZE0j+NEALsQIn54BHagainuV8DzjP//Iv8FAAD//wMAUEsBAi0A&#10;FAAGAAgAAAAhALaDOJL+AAAA4QEAABMAAAAAAAAAAAAAAAAAAAAAAFtDb250ZW50X1R5cGVzXS54&#10;bWxQSwECLQAUAAYACAAAACEAOP0h/9YAAACUAQAACwAAAAAAAAAAAAAAAAAvAQAAX3JlbHMvLnJl&#10;bHNQSwECLQAUAAYACAAAACEAd3G/hugBAAC1AwAADgAAAAAAAAAAAAAAAAAuAgAAZHJzL2Uyb0Rv&#10;Yy54bWxQSwECLQAUAAYACAAAACEAGzPPY+MAAAANAQAADwAAAAAAAAAAAAAAAABCBAAAZHJzL2Rv&#10;d25yZXYueG1sUEsFBgAAAAAEAAQA8wAAAFIFAAAAAA==&#10;" fillcolor="#005eb8" stroked="f">
              <w10:wrap anchorx="page" anchory="page"/>
            </v:rect>
          </w:pict>
        </mc:Fallback>
      </mc:AlternateContent>
    </w:r>
    <w:r w:rsidR="00687AD6">
      <w:rPr>
        <w:noProof/>
        <w:lang w:eastAsia="en-GB"/>
      </w:rPr>
      <mc:AlternateContent>
        <mc:Choice Requires="wps">
          <w:drawing>
            <wp:anchor distT="0" distB="0" distL="114300" distR="114300" simplePos="0" relativeHeight="251656704" behindDoc="0" locked="0" layoutInCell="1" allowOverlap="1" wp14:anchorId="66E10BBA" wp14:editId="2BC69A86">
              <wp:simplePos x="0" y="0"/>
              <wp:positionH relativeFrom="page">
                <wp:posOffset>540385</wp:posOffset>
              </wp:positionH>
              <wp:positionV relativeFrom="page">
                <wp:posOffset>10027285</wp:posOffset>
              </wp:positionV>
              <wp:extent cx="4529455" cy="306070"/>
              <wp:effectExtent l="0" t="0" r="0" b="12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6C62F" w14:textId="77777777" w:rsidR="00406F09" w:rsidRPr="00D72822" w:rsidRDefault="00A60CA9">
                          <w:pPr>
                            <w:rPr>
                              <w:rFonts w:ascii="Arial" w:hAnsi="Arial" w:cs="Arial"/>
                              <w:b/>
                              <w:color w:val="FFFFFF"/>
                              <w:sz w:val="20"/>
                              <w:szCs w:val="20"/>
                            </w:rPr>
                          </w:pPr>
                          <w:r w:rsidRPr="00D72822">
                            <w:rPr>
                              <w:rFonts w:ascii="Arial" w:hAnsi="Arial" w:cs="Arial"/>
                              <w:b/>
                              <w:color w:val="FFFFFF"/>
                              <w:sz w:val="20"/>
                              <w:szCs w:val="20"/>
                            </w:rPr>
                            <w:t>i</w:t>
                          </w:r>
                          <w:r w:rsidR="00406F09" w:rsidRPr="00D72822">
                            <w:rPr>
                              <w:rFonts w:ascii="Arial" w:hAnsi="Arial" w:cs="Arial"/>
                              <w:b/>
                              <w:color w:val="FFFFFF"/>
                              <w:sz w:val="20"/>
                              <w:szCs w:val="20"/>
                            </w:rPr>
                            <w:t>ntegrity   |   simplicity   |   caring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10BBA" id="_x0000_t202" coordsize="21600,21600" o:spt="202" path="m,l,21600r21600,l21600,xe">
              <v:stroke joinstyle="miter"/>
              <v:path gradientshapeok="t" o:connecttype="rect"/>
            </v:shapetype>
            <v:shape id="Text Box 15" o:spid="_x0000_s1026" type="#_x0000_t202" style="position:absolute;margin-left:42.55pt;margin-top:789.55pt;width:356.65pt;height:2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b04gEAAJ0DAAAOAAAAZHJzL2Uyb0RvYy54bWysU8Fu2zAMvQ/YPwi6L3Yyp12NOEXXosOA&#10;rhvQ9QNkWbKF2aJGKbGzrx8lp2m33oZdBFKiH997pDeX09CzvUJvwFZ8ucg5U1ZCY2xb8cfvt+8+&#10;cOaDsI3owaqKH5Tnl9u3bzajK9UKOugbhYxArC9HV/EuBFdmmZedGoRfgFOWHjXgIAKl2GYNipHQ&#10;hz5b5flZNgI2DkEq7+n2Zn7k24SvtZLhq9ZeBdZXnLiFdGI663hm240oWxSuM/JIQ/wDi0EYS01P&#10;UDciCLZD8wpqMBLBgw4LCUMGWhupkgZSs8z/UvPQCaeSFjLHu5NN/v/Byvv9g/uGLEwfYaIBJhHe&#10;3YH84ZmF607YVl0hwtgp0VDjZbQsG50vj59Gq33pI0g9foGGhix2ARLQpHGIrpBORug0gMPJdDUF&#10;JumyWK8uivWaM0lv7/Oz/DxNJRPl09cOffikYGAxqDjSUBO62N/5ENmI8qkkNrNwa/o+Dba3f1xQ&#10;YbxJ7CPhmXqY6omqo4oamgPpQJj3hPaagg7wF2cj7UjF/c+dQMVZ/9mSF3GhUlCsz1eUYEoulkVB&#10;Sf3yRVhJMBUPnM3hdZiXcOfQtB11mZ23cEXeaZNkPTM6cqYdSGqP+xqX7GWeqp7/qu1vAAAA//8D&#10;AFBLAwQUAAYACAAAACEApo2iieIAAAAMAQAADwAAAGRycy9kb3ducmV2LnhtbEyPzU7DMBCE70i8&#10;g7VI3KjTljY/xKkQUg8UFUHbB3CSJY6I1yF2m/D2LCe47c6MZr/NN5PtxAUH3zpSMJ9FIJAqV7fU&#10;KDgdt3cJCB801bpzhAq+0cOmuL7KdVa7kd7xcgiN4BLymVZgQugzKX1l0Go/cz0Sex9usDrwOjSy&#10;HvTI5baTiyhaS6tb4gtG9/hksPo8nK2C/fb15TmddsdSt7vRfb0tT2YkpW5vpscHEAGn8BeGX3xG&#10;h4KZSnem2otOQbKac5L1VZzyxIk4Te5BlCytF/ESZJHL/08UPwAAAP//AwBQSwECLQAUAAYACAAA&#10;ACEAtoM4kv4AAADhAQAAEwAAAAAAAAAAAAAAAAAAAAAAW0NvbnRlbnRfVHlwZXNdLnhtbFBLAQIt&#10;ABQABgAIAAAAIQA4/SH/1gAAAJQBAAALAAAAAAAAAAAAAAAAAC8BAABfcmVscy8ucmVsc1BLAQIt&#10;ABQABgAIAAAAIQAO2Mb04gEAAJ0DAAAOAAAAAAAAAAAAAAAAAC4CAABkcnMvZTJvRG9jLnhtbFBL&#10;AQItABQABgAIAAAAIQCmjaKJ4gAAAAwBAAAPAAAAAAAAAAAAAAAAADwEAABkcnMvZG93bnJldi54&#10;bWxQSwUGAAAAAAQABADzAAAASwUAAAAA&#10;" filled="f" stroked="f">
              <v:textbox inset="0">
                <w:txbxContent>
                  <w:p w14:paraId="6496C62F" w14:textId="77777777" w:rsidR="00406F09" w:rsidRPr="00D72822" w:rsidRDefault="00A60CA9">
                    <w:pPr>
                      <w:rPr>
                        <w:rFonts w:ascii="Arial" w:hAnsi="Arial" w:cs="Arial"/>
                        <w:b/>
                        <w:color w:val="FFFFFF"/>
                        <w:sz w:val="20"/>
                        <w:szCs w:val="20"/>
                      </w:rPr>
                    </w:pPr>
                    <w:r w:rsidRPr="00D72822">
                      <w:rPr>
                        <w:rFonts w:ascii="Arial" w:hAnsi="Arial" w:cs="Arial"/>
                        <w:b/>
                        <w:color w:val="FFFFFF"/>
                        <w:sz w:val="20"/>
                        <w:szCs w:val="20"/>
                      </w:rPr>
                      <w:t>i</w:t>
                    </w:r>
                    <w:r w:rsidR="00406F09" w:rsidRPr="00D72822">
                      <w:rPr>
                        <w:rFonts w:ascii="Arial" w:hAnsi="Arial" w:cs="Arial"/>
                        <w:b/>
                        <w:color w:val="FFFFFF"/>
                        <w:sz w:val="20"/>
                        <w:szCs w:val="20"/>
                      </w:rPr>
                      <w:t>ntegrity   |   simplicity   |   caring</w:t>
                    </w:r>
                  </w:p>
                </w:txbxContent>
              </v:textbox>
              <w10:wrap anchorx="page" anchory="page"/>
            </v:shape>
          </w:pict>
        </mc:Fallback>
      </mc:AlternateContent>
    </w:r>
    <w:r w:rsidR="00406F09">
      <w:t xml:space="preserve">Page </w:t>
    </w:r>
    <w:r w:rsidR="00406F09">
      <w:rPr>
        <w:b/>
        <w:bCs/>
      </w:rPr>
      <w:fldChar w:fldCharType="begin"/>
    </w:r>
    <w:r w:rsidR="00406F09">
      <w:rPr>
        <w:b/>
        <w:bCs/>
      </w:rPr>
      <w:instrText xml:space="preserve"> PAGE </w:instrText>
    </w:r>
    <w:r w:rsidR="00406F09">
      <w:rPr>
        <w:b/>
        <w:bCs/>
      </w:rPr>
      <w:fldChar w:fldCharType="separate"/>
    </w:r>
    <w:r w:rsidR="00E36B2A">
      <w:rPr>
        <w:b/>
        <w:bCs/>
        <w:noProof/>
      </w:rPr>
      <w:t>1</w:t>
    </w:r>
    <w:r w:rsidR="00406F09">
      <w:rPr>
        <w:b/>
        <w:bCs/>
      </w:rPr>
      <w:fldChar w:fldCharType="end"/>
    </w:r>
    <w:r w:rsidR="00406F09">
      <w:t xml:space="preserve"> of </w:t>
    </w:r>
    <w:r w:rsidR="00406F09">
      <w:rPr>
        <w:b/>
        <w:bCs/>
      </w:rPr>
      <w:fldChar w:fldCharType="begin"/>
    </w:r>
    <w:r w:rsidR="00406F09">
      <w:rPr>
        <w:b/>
        <w:bCs/>
      </w:rPr>
      <w:instrText xml:space="preserve"> NUMPAGES  </w:instrText>
    </w:r>
    <w:r w:rsidR="00406F09">
      <w:rPr>
        <w:b/>
        <w:bCs/>
      </w:rPr>
      <w:fldChar w:fldCharType="separate"/>
    </w:r>
    <w:r w:rsidR="00E36B2A">
      <w:rPr>
        <w:b/>
        <w:bCs/>
        <w:noProof/>
      </w:rPr>
      <w:t>1</w:t>
    </w:r>
    <w:r w:rsidR="00406F0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2D6C" w14:textId="77777777" w:rsidR="006D4821" w:rsidRDefault="006D4821">
      <w:r>
        <w:separator/>
      </w:r>
    </w:p>
  </w:footnote>
  <w:footnote w:type="continuationSeparator" w:id="0">
    <w:p w14:paraId="49A53837" w14:textId="77777777" w:rsidR="006D4821" w:rsidRDefault="006D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7329" w14:textId="77777777" w:rsidR="008E439C" w:rsidRDefault="00687AD6">
    <w:pPr>
      <w:pStyle w:val="Header"/>
    </w:pPr>
    <w:r>
      <w:rPr>
        <w:noProof/>
        <w:lang w:eastAsia="en-GB"/>
      </w:rPr>
      <w:drawing>
        <wp:anchor distT="0" distB="0" distL="114300" distR="114300" simplePos="0" relativeHeight="251659776" behindDoc="1" locked="0" layoutInCell="1" allowOverlap="1" wp14:anchorId="786F60DC" wp14:editId="63E3DAE5">
          <wp:simplePos x="0" y="0"/>
          <wp:positionH relativeFrom="column">
            <wp:posOffset>2934335</wp:posOffset>
          </wp:positionH>
          <wp:positionV relativeFrom="paragraph">
            <wp:posOffset>-575945</wp:posOffset>
          </wp:positionV>
          <wp:extent cx="4093845" cy="1839595"/>
          <wp:effectExtent l="0" t="0" r="1905" b="8255"/>
          <wp:wrapNone/>
          <wp:docPr id="18" name="Picture 18" descr="LYPFT-Logo-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YPFT-Logo-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37517083" wp14:editId="44A687A2">
              <wp:simplePos x="0" y="0"/>
              <wp:positionH relativeFrom="page">
                <wp:posOffset>354330</wp:posOffset>
              </wp:positionH>
              <wp:positionV relativeFrom="page">
                <wp:posOffset>1432560</wp:posOffset>
              </wp:positionV>
              <wp:extent cx="6840220" cy="0"/>
              <wp:effectExtent l="20955" t="22860" r="15875" b="2476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lgn="ctr">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BF635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27.9pt,112.8pt" to="566.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mTugEAAFQDAAAOAAAAZHJzL2Uyb0RvYy54bWysU01v2zAMvQ/YfxB0X+xkaxcYcQosbXfp&#10;tgBtfwAjy7YwWRRIJXb+/SQ1SYvtVuwi8PP58ZFe3UyDFQdNbNDVcj4rpdBOYWNcV8vnp/tPSyk4&#10;gGvAotO1PGqWN+uPH1ajr/QCe7SNJhFBHFejr2Ufgq+KglWvB+AZeu1iskUaIESXuqIhGCP6YItF&#10;WV4XI1LjCZVmjtHbl6RcZ/y21Sr8alvWQdhaRm4hv5TfXXqL9QqqjsD3Rp1owDtYDGBc/OgF6hYC&#10;iD2Zf6AGowgZ2zBTOBTYtkbpPEOcZl7+Nc1jD17nWaI47C8y8f+DVT8PG7elRF1N7tE/oPrNwuGm&#10;B9fpTODp6OPi5kmqYvRcXVqSw35LYjf+wCbWwD5gVmFqaUiQcT4xZbGPF7H1FISKwevll3KxiDtR&#10;51wB1bnRE4fvGgeRjFpa45IOUMHhgUMiAtW5JIUd3htr8y6tE2MtP8+/XkVosF28ShUoNzNa06TC&#10;1MLU7TaWxAHSZZRXd9+WecKYeVtGuHdNBu41NHcnO4CxL3YkYt1JmKRFOjyudtgct3QWLK4uMz6d&#10;WbqNt37ufv0Z1n8AAAD//wMAUEsDBBQABgAIAAAAIQAusfI83wAAAAsBAAAPAAAAZHJzL2Rvd25y&#10;ZXYueG1sTI/BTsMwEETvSPyDtUjcqNNUqUqIU0ERiEM5NHDo0Y2XJMJeR7HTpn/PVkKC4+yMZt8U&#10;68lZccQhdJ4UzGcJCKTam44aBZ8fL3crECFqMtp6QgVnDLAur68KnRt/oh0eq9gILqGQawVtjH0u&#10;ZahbdDrMfI/E3pcfnI4sh0aaQZ+43FmZJslSOt0Rf2h1j5sW6+9qdAoint+e99vN6/uq2o37dGue&#10;rLxX6vZmenwAEXGKf2G44DM6lMx08COZIKyCLGPyqCBNsyWIS2C+WPC6w+9JloX8v6H8AQAA//8D&#10;AFBLAQItABQABgAIAAAAIQC2gziS/gAAAOEBAAATAAAAAAAAAAAAAAAAAAAAAABbQ29udGVudF9U&#10;eXBlc10ueG1sUEsBAi0AFAAGAAgAAAAhADj9If/WAAAAlAEAAAsAAAAAAAAAAAAAAAAALwEAAF9y&#10;ZWxzLy5yZWxzUEsBAi0AFAAGAAgAAAAhAMuR+ZO6AQAAVAMAAA4AAAAAAAAAAAAAAAAALgIAAGRy&#10;cy9lMm9Eb2MueG1sUEsBAi0AFAAGAAgAAAAhAC6x8jzfAAAACwEAAA8AAAAAAAAAAAAAAAAAFAQA&#10;AGRycy9kb3ducmV2LnhtbFBLBQYAAAAABAAEAPMAAAAgBQAAAAA=&#10;" strokecolor="#005eb8"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0C"/>
    <w:multiLevelType w:val="hybridMultilevel"/>
    <w:tmpl w:val="BD7A841C"/>
    <w:lvl w:ilvl="0" w:tplc="D6C267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0C7"/>
    <w:multiLevelType w:val="multilevel"/>
    <w:tmpl w:val="93CA210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0C048F9"/>
    <w:multiLevelType w:val="hybridMultilevel"/>
    <w:tmpl w:val="7DB61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44CFA"/>
    <w:multiLevelType w:val="hybridMultilevel"/>
    <w:tmpl w:val="D1B4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36471"/>
    <w:multiLevelType w:val="hybridMultilevel"/>
    <w:tmpl w:val="97F04C7E"/>
    <w:lvl w:ilvl="0" w:tplc="D6C267B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8540ED"/>
    <w:multiLevelType w:val="hybridMultilevel"/>
    <w:tmpl w:val="16926100"/>
    <w:lvl w:ilvl="0" w:tplc="C0984020">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E8DA2">
      <w:start w:val="1"/>
      <w:numFmt w:val="bullet"/>
      <w:lvlText w:val="o"/>
      <w:lvlJc w:val="left"/>
      <w:pPr>
        <w:ind w:left="1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14D72E">
      <w:start w:val="1"/>
      <w:numFmt w:val="bullet"/>
      <w:lvlText w:val="▪"/>
      <w:lvlJc w:val="left"/>
      <w:pPr>
        <w:ind w:left="1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B6B3DC">
      <w:start w:val="1"/>
      <w:numFmt w:val="bullet"/>
      <w:lvlText w:val="•"/>
      <w:lvlJc w:val="left"/>
      <w:pPr>
        <w:ind w:left="2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84B64">
      <w:start w:val="1"/>
      <w:numFmt w:val="bullet"/>
      <w:lvlText w:val="o"/>
      <w:lvlJc w:val="left"/>
      <w:pPr>
        <w:ind w:left="3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2CDDE6">
      <w:start w:val="1"/>
      <w:numFmt w:val="bullet"/>
      <w:lvlText w:val="▪"/>
      <w:lvlJc w:val="left"/>
      <w:pPr>
        <w:ind w:left="3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66228">
      <w:start w:val="1"/>
      <w:numFmt w:val="bullet"/>
      <w:lvlText w:val="•"/>
      <w:lvlJc w:val="left"/>
      <w:pPr>
        <w:ind w:left="4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6096">
      <w:start w:val="1"/>
      <w:numFmt w:val="bullet"/>
      <w:lvlText w:val="o"/>
      <w:lvlJc w:val="left"/>
      <w:pPr>
        <w:ind w:left="5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782ED0">
      <w:start w:val="1"/>
      <w:numFmt w:val="bullet"/>
      <w:lvlText w:val="▪"/>
      <w:lvlJc w:val="left"/>
      <w:pPr>
        <w:ind w:left="6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2A3476"/>
    <w:multiLevelType w:val="hybridMultilevel"/>
    <w:tmpl w:val="AC32777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7EE7DD9"/>
    <w:multiLevelType w:val="hybridMultilevel"/>
    <w:tmpl w:val="E1749B2E"/>
    <w:lvl w:ilvl="0" w:tplc="2856B9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1440" w:hanging="360"/>
      </w:pPr>
      <w:rPr>
        <w:rFonts w:ascii="Symbol" w:hAnsi="Symbol" w:hint="default"/>
      </w:rPr>
    </w:lvl>
    <w:lvl w:ilvl="2" w:tplc="B29241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10EB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E39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048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F208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253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E8C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9F6248"/>
    <w:multiLevelType w:val="hybridMultilevel"/>
    <w:tmpl w:val="424270FC"/>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267B0">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AB5C7B"/>
    <w:multiLevelType w:val="hybridMultilevel"/>
    <w:tmpl w:val="40D0C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77264"/>
    <w:multiLevelType w:val="hybridMultilevel"/>
    <w:tmpl w:val="803AC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1E58B0"/>
    <w:multiLevelType w:val="hybridMultilevel"/>
    <w:tmpl w:val="3AEE2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0C56EA"/>
    <w:multiLevelType w:val="hybridMultilevel"/>
    <w:tmpl w:val="7F14AF2E"/>
    <w:lvl w:ilvl="0" w:tplc="BB622A34">
      <w:start w:val="200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C3563"/>
    <w:multiLevelType w:val="hybridMultilevel"/>
    <w:tmpl w:val="CE38E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77180"/>
    <w:multiLevelType w:val="hybridMultilevel"/>
    <w:tmpl w:val="3A66CCFC"/>
    <w:lvl w:ilvl="0" w:tplc="FFFFFFFF">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267B0">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52773E"/>
    <w:multiLevelType w:val="hybridMultilevel"/>
    <w:tmpl w:val="654475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6F03753"/>
    <w:multiLevelType w:val="hybridMultilevel"/>
    <w:tmpl w:val="4D6CC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5B5355"/>
    <w:multiLevelType w:val="hybridMultilevel"/>
    <w:tmpl w:val="46E6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11478"/>
    <w:multiLevelType w:val="hybridMultilevel"/>
    <w:tmpl w:val="F114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C0852"/>
    <w:multiLevelType w:val="hybridMultilevel"/>
    <w:tmpl w:val="089CC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35808"/>
    <w:multiLevelType w:val="hybridMultilevel"/>
    <w:tmpl w:val="0BF29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51EC0"/>
    <w:multiLevelType w:val="hybridMultilevel"/>
    <w:tmpl w:val="B4EC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363F44"/>
    <w:multiLevelType w:val="hybridMultilevel"/>
    <w:tmpl w:val="A64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3156629">
    <w:abstractNumId w:val="2"/>
  </w:num>
  <w:num w:numId="2" w16cid:durableId="1833258051">
    <w:abstractNumId w:val="12"/>
  </w:num>
  <w:num w:numId="3" w16cid:durableId="9049478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4733206">
    <w:abstractNumId w:val="22"/>
  </w:num>
  <w:num w:numId="5" w16cid:durableId="11006412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095864">
    <w:abstractNumId w:val="19"/>
  </w:num>
  <w:num w:numId="7" w16cid:durableId="1958679307">
    <w:abstractNumId w:val="17"/>
  </w:num>
  <w:num w:numId="8" w16cid:durableId="1520125309">
    <w:abstractNumId w:val="11"/>
  </w:num>
  <w:num w:numId="9" w16cid:durableId="1418483803">
    <w:abstractNumId w:val="21"/>
  </w:num>
  <w:num w:numId="10" w16cid:durableId="2039970181">
    <w:abstractNumId w:val="9"/>
  </w:num>
  <w:num w:numId="11" w16cid:durableId="1585871882">
    <w:abstractNumId w:val="7"/>
  </w:num>
  <w:num w:numId="12" w16cid:durableId="1794130558">
    <w:abstractNumId w:val="5"/>
  </w:num>
  <w:num w:numId="13" w16cid:durableId="709186135">
    <w:abstractNumId w:val="18"/>
  </w:num>
  <w:num w:numId="14" w16cid:durableId="606615880">
    <w:abstractNumId w:val="0"/>
  </w:num>
  <w:num w:numId="15" w16cid:durableId="1150485880">
    <w:abstractNumId w:val="1"/>
  </w:num>
  <w:num w:numId="16" w16cid:durableId="1965577739">
    <w:abstractNumId w:val="4"/>
  </w:num>
  <w:num w:numId="17" w16cid:durableId="929855768">
    <w:abstractNumId w:val="14"/>
  </w:num>
  <w:num w:numId="18" w16cid:durableId="1467502292">
    <w:abstractNumId w:val="8"/>
  </w:num>
  <w:num w:numId="19" w16cid:durableId="2123917748">
    <w:abstractNumId w:val="20"/>
  </w:num>
  <w:num w:numId="20" w16cid:durableId="376005977">
    <w:abstractNumId w:val="13"/>
  </w:num>
  <w:num w:numId="21" w16cid:durableId="1990402825">
    <w:abstractNumId w:val="16"/>
  </w:num>
  <w:num w:numId="22" w16cid:durableId="1865711441">
    <w:abstractNumId w:val="3"/>
  </w:num>
  <w:num w:numId="23" w16cid:durableId="1839806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5e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96"/>
    <w:rsid w:val="000223A7"/>
    <w:rsid w:val="000252AF"/>
    <w:rsid w:val="000336D3"/>
    <w:rsid w:val="000B6D5E"/>
    <w:rsid w:val="0012371A"/>
    <w:rsid w:val="00123A64"/>
    <w:rsid w:val="00141179"/>
    <w:rsid w:val="001630BE"/>
    <w:rsid w:val="00181FD5"/>
    <w:rsid w:val="002376ED"/>
    <w:rsid w:val="00256EA1"/>
    <w:rsid w:val="00293A11"/>
    <w:rsid w:val="002D6514"/>
    <w:rsid w:val="003178C4"/>
    <w:rsid w:val="0034549F"/>
    <w:rsid w:val="00357FB2"/>
    <w:rsid w:val="00362A56"/>
    <w:rsid w:val="00362A5F"/>
    <w:rsid w:val="0039163C"/>
    <w:rsid w:val="003A24B7"/>
    <w:rsid w:val="003F3637"/>
    <w:rsid w:val="00406F09"/>
    <w:rsid w:val="00421E1C"/>
    <w:rsid w:val="004309BC"/>
    <w:rsid w:val="004310E0"/>
    <w:rsid w:val="00462AF2"/>
    <w:rsid w:val="00465A5C"/>
    <w:rsid w:val="004718B7"/>
    <w:rsid w:val="0048748B"/>
    <w:rsid w:val="004B0FBE"/>
    <w:rsid w:val="004D2400"/>
    <w:rsid w:val="004F00EC"/>
    <w:rsid w:val="0052135E"/>
    <w:rsid w:val="00574632"/>
    <w:rsid w:val="005E093C"/>
    <w:rsid w:val="00625A2E"/>
    <w:rsid w:val="00635375"/>
    <w:rsid w:val="006464E1"/>
    <w:rsid w:val="00650E1E"/>
    <w:rsid w:val="00672F38"/>
    <w:rsid w:val="0068134D"/>
    <w:rsid w:val="00687AD6"/>
    <w:rsid w:val="006954BF"/>
    <w:rsid w:val="006A28AC"/>
    <w:rsid w:val="006D329E"/>
    <w:rsid w:val="006D4821"/>
    <w:rsid w:val="006D77C1"/>
    <w:rsid w:val="006E2ED1"/>
    <w:rsid w:val="00736818"/>
    <w:rsid w:val="00750EE5"/>
    <w:rsid w:val="0076620E"/>
    <w:rsid w:val="00775A62"/>
    <w:rsid w:val="007878F5"/>
    <w:rsid w:val="00787A95"/>
    <w:rsid w:val="00830BAD"/>
    <w:rsid w:val="00845C2B"/>
    <w:rsid w:val="00856AE8"/>
    <w:rsid w:val="0086322E"/>
    <w:rsid w:val="008A741B"/>
    <w:rsid w:val="008B3C56"/>
    <w:rsid w:val="008D3D04"/>
    <w:rsid w:val="008E439C"/>
    <w:rsid w:val="00907C99"/>
    <w:rsid w:val="0093186C"/>
    <w:rsid w:val="0094140D"/>
    <w:rsid w:val="00964A67"/>
    <w:rsid w:val="009A3986"/>
    <w:rsid w:val="009A5ABF"/>
    <w:rsid w:val="009D2322"/>
    <w:rsid w:val="009E4B6C"/>
    <w:rsid w:val="00A27CCA"/>
    <w:rsid w:val="00A44FE3"/>
    <w:rsid w:val="00A60CA9"/>
    <w:rsid w:val="00A61F04"/>
    <w:rsid w:val="00A93D96"/>
    <w:rsid w:val="00AA1B67"/>
    <w:rsid w:val="00B40EB9"/>
    <w:rsid w:val="00B552E6"/>
    <w:rsid w:val="00B64861"/>
    <w:rsid w:val="00B81046"/>
    <w:rsid w:val="00B86B92"/>
    <w:rsid w:val="00BA4E9B"/>
    <w:rsid w:val="00BA51B5"/>
    <w:rsid w:val="00BE027E"/>
    <w:rsid w:val="00C07520"/>
    <w:rsid w:val="00C17A66"/>
    <w:rsid w:val="00C27472"/>
    <w:rsid w:val="00C4012B"/>
    <w:rsid w:val="00C5267B"/>
    <w:rsid w:val="00C5281F"/>
    <w:rsid w:val="00CA3BA9"/>
    <w:rsid w:val="00CB6002"/>
    <w:rsid w:val="00CD26AA"/>
    <w:rsid w:val="00CF5136"/>
    <w:rsid w:val="00CF7A4A"/>
    <w:rsid w:val="00D72822"/>
    <w:rsid w:val="00D74F69"/>
    <w:rsid w:val="00DA7F5E"/>
    <w:rsid w:val="00DC5B9C"/>
    <w:rsid w:val="00DE6E85"/>
    <w:rsid w:val="00E1208E"/>
    <w:rsid w:val="00E2524B"/>
    <w:rsid w:val="00E36B2A"/>
    <w:rsid w:val="00E70CF6"/>
    <w:rsid w:val="00EB07C8"/>
    <w:rsid w:val="00EC1DA8"/>
    <w:rsid w:val="00ED563E"/>
    <w:rsid w:val="00EF6CB3"/>
    <w:rsid w:val="00F139F9"/>
    <w:rsid w:val="00F13D5B"/>
    <w:rsid w:val="00F45D26"/>
    <w:rsid w:val="00F9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eb8"/>
    </o:shapedefaults>
    <o:shapelayout v:ext="edit">
      <o:idmap v:ext="edit" data="2"/>
    </o:shapelayout>
  </w:shapeDefaults>
  <w:decimalSymbol w:val="."/>
  <w:listSeparator w:val=","/>
  <w14:docId w14:val="0D3770DE"/>
  <w15:docId w15:val="{E51F41C0-B963-4066-86ED-71BFD4AF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9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D728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41B"/>
    <w:rPr>
      <w:rFonts w:ascii="Tahoma" w:hAnsi="Tahoma" w:cs="Tahoma"/>
      <w:sz w:val="16"/>
      <w:szCs w:val="16"/>
    </w:rPr>
  </w:style>
  <w:style w:type="paragraph" w:customStyle="1" w:styleId="msolistparagraph0">
    <w:name w:val="msolistparagraph"/>
    <w:basedOn w:val="Normal"/>
    <w:rsid w:val="00F13D5B"/>
    <w:pPr>
      <w:ind w:left="720"/>
    </w:pPr>
    <w:rPr>
      <w:rFonts w:ascii="Calibri" w:hAnsi="Calibri"/>
      <w:lang w:eastAsia="en-GB"/>
    </w:rPr>
  </w:style>
  <w:style w:type="paragraph" w:styleId="Header">
    <w:name w:val="header"/>
    <w:basedOn w:val="Normal"/>
    <w:rsid w:val="00F45D26"/>
    <w:pPr>
      <w:tabs>
        <w:tab w:val="center" w:pos="4153"/>
        <w:tab w:val="right" w:pos="8306"/>
      </w:tabs>
    </w:pPr>
  </w:style>
  <w:style w:type="paragraph" w:styleId="Footer">
    <w:name w:val="footer"/>
    <w:basedOn w:val="Normal"/>
    <w:link w:val="FooterChar"/>
    <w:uiPriority w:val="99"/>
    <w:rsid w:val="00F45D26"/>
    <w:pPr>
      <w:tabs>
        <w:tab w:val="center" w:pos="4153"/>
        <w:tab w:val="right" w:pos="8306"/>
      </w:tabs>
    </w:pPr>
  </w:style>
  <w:style w:type="character" w:styleId="Hyperlink">
    <w:name w:val="Hyperlink"/>
    <w:rsid w:val="004B0FBE"/>
    <w:rPr>
      <w:color w:val="0000FF"/>
      <w:u w:val="single"/>
    </w:rPr>
  </w:style>
  <w:style w:type="paragraph" w:customStyle="1" w:styleId="listparagraph">
    <w:name w:val="listparagraph"/>
    <w:basedOn w:val="Normal"/>
    <w:rsid w:val="00787A95"/>
    <w:pPr>
      <w:ind w:left="720"/>
    </w:pPr>
    <w:rPr>
      <w:rFonts w:cs="Arial"/>
      <w:lang w:eastAsia="en-GB"/>
    </w:rPr>
  </w:style>
  <w:style w:type="table" w:styleId="TableGrid">
    <w:name w:val="Table Grid"/>
    <w:basedOn w:val="TableNormal"/>
    <w:uiPriority w:val="59"/>
    <w:rsid w:val="0003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3C56"/>
    <w:pPr>
      <w:spacing w:before="100" w:beforeAutospacing="1" w:after="100" w:afterAutospacing="1"/>
    </w:pPr>
    <w:rPr>
      <w:rFonts w:ascii="Times New Roman" w:hAnsi="Times New Roman"/>
      <w:lang w:eastAsia="en-GB"/>
    </w:rPr>
  </w:style>
  <w:style w:type="character" w:customStyle="1" w:styleId="FooterChar">
    <w:name w:val="Footer Char"/>
    <w:link w:val="Footer"/>
    <w:uiPriority w:val="99"/>
    <w:rsid w:val="00625A2E"/>
    <w:rPr>
      <w:rFonts w:ascii="Arial" w:hAnsi="Arial"/>
      <w:sz w:val="24"/>
      <w:szCs w:val="24"/>
      <w:lang w:eastAsia="en-US"/>
    </w:rPr>
  </w:style>
  <w:style w:type="table" w:customStyle="1" w:styleId="TableGrid0">
    <w:name w:val="TableGrid"/>
    <w:rsid w:val="00A93D96"/>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Title">
    <w:name w:val="Title"/>
    <w:basedOn w:val="Normal"/>
    <w:next w:val="Normal"/>
    <w:link w:val="TitleChar"/>
    <w:qFormat/>
    <w:rsid w:val="00D72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2822"/>
    <w:rPr>
      <w:rFonts w:asciiTheme="majorHAnsi" w:eastAsiaTheme="majorEastAsia" w:hAnsiTheme="majorHAnsi" w:cstheme="majorBidi"/>
      <w:spacing w:val="-10"/>
      <w:kern w:val="28"/>
      <w:sz w:val="56"/>
      <w:szCs w:val="56"/>
      <w:lang w:eastAsia="en-US"/>
      <w14:ligatures w14:val="standardContextual"/>
    </w:rPr>
  </w:style>
  <w:style w:type="character" w:customStyle="1" w:styleId="Heading1Char">
    <w:name w:val="Heading 1 Char"/>
    <w:basedOn w:val="DefaultParagraphFont"/>
    <w:link w:val="Heading1"/>
    <w:rsid w:val="00D72822"/>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ListParagraph0">
    <w:name w:val="List Paragraph"/>
    <w:basedOn w:val="Normal"/>
    <w:uiPriority w:val="34"/>
    <w:qFormat/>
    <w:rsid w:val="00D72822"/>
    <w:pPr>
      <w:ind w:left="720"/>
      <w:contextualSpacing/>
    </w:pPr>
  </w:style>
  <w:style w:type="character" w:styleId="FollowedHyperlink">
    <w:name w:val="FollowedHyperlink"/>
    <w:basedOn w:val="DefaultParagraphFont"/>
    <w:rsid w:val="00D72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77381">
      <w:bodyDiv w:val="1"/>
      <w:marLeft w:val="0"/>
      <w:marRight w:val="0"/>
      <w:marTop w:val="0"/>
      <w:marBottom w:val="0"/>
      <w:divBdr>
        <w:top w:val="none" w:sz="0" w:space="0" w:color="auto"/>
        <w:left w:val="none" w:sz="0" w:space="0" w:color="auto"/>
        <w:bottom w:val="none" w:sz="0" w:space="0" w:color="auto"/>
        <w:right w:val="none" w:sz="0" w:space="0" w:color="auto"/>
      </w:divBdr>
    </w:div>
    <w:div w:id="831262635">
      <w:bodyDiv w:val="1"/>
      <w:marLeft w:val="0"/>
      <w:marRight w:val="0"/>
      <w:marTop w:val="0"/>
      <w:marBottom w:val="0"/>
      <w:divBdr>
        <w:top w:val="none" w:sz="0" w:space="0" w:color="auto"/>
        <w:left w:val="none" w:sz="0" w:space="0" w:color="auto"/>
        <w:bottom w:val="none" w:sz="0" w:space="0" w:color="auto"/>
        <w:right w:val="none" w:sz="0" w:space="0" w:color="auto"/>
      </w:divBdr>
    </w:div>
    <w:div w:id="15410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edsandyorkpft.nhs.uk/our-services/adult-attention-deficit-hyperactivity-disorder-adhd-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ons\Resources\LYPFT%20Branded%20templates\Blank%20Multi%20Page%20Template%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516D2351C214C9A3BCBE52080593A" ma:contentTypeVersion="1" ma:contentTypeDescription="Create a new document." ma:contentTypeScope="" ma:versionID="20467f3de946ab5c998c991a881105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5160-CF96-499F-8461-28626E7C9D68}">
  <ds:schemaRefs>
    <ds:schemaRef ds:uri="http://schemas.microsoft.com/office/2006/metadata/longProperties"/>
  </ds:schemaRefs>
</ds:datastoreItem>
</file>

<file path=customXml/itemProps2.xml><?xml version="1.0" encoding="utf-8"?>
<ds:datastoreItem xmlns:ds="http://schemas.openxmlformats.org/officeDocument/2006/customXml" ds:itemID="{DC3AB05E-EF72-42C6-A247-A58E31FD1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391782-33ED-44C9-BE0A-49F7B6872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D5F9DD-EFE8-4BE5-9ACB-8DBECF569B6D}">
  <ds:schemaRefs>
    <ds:schemaRef ds:uri="http://schemas.openxmlformats.org/officeDocument/2006/bibliography"/>
  </ds:schemaRefs>
</ds:datastoreItem>
</file>

<file path=customXml/itemProps5.xml><?xml version="1.0" encoding="utf-8"?>
<ds:datastoreItem xmlns:ds="http://schemas.openxmlformats.org/officeDocument/2006/customXml" ds:itemID="{DD683BA5-652D-4E1C-93ED-8A74A8065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Multi Page Template Doc</Template>
  <TotalTime>10</TotalTime>
  <Pages>12</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Leeds Mental Health Trust</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Watson</dc:creator>
  <cp:lastModifiedBy>Oliver Tipper</cp:lastModifiedBy>
  <cp:revision>2</cp:revision>
  <cp:lastPrinted>2017-08-15T09:17:00Z</cp:lastPrinted>
  <dcterms:created xsi:type="dcterms:W3CDTF">2024-01-11T12:42:00Z</dcterms:created>
  <dcterms:modified xsi:type="dcterms:W3CDTF">2024-01-11T12:42:00Z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0x010100A70516D2351C214C9A3BCBE52080593A</vt:lpwstr>
  </property>
</Properties>
</file>