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A945" w14:textId="322E38DD" w:rsidR="00C32595" w:rsidRPr="00994094" w:rsidRDefault="00C607C2" w:rsidP="00C607C2">
      <w:pPr>
        <w:keepNext/>
        <w:keepLines/>
        <w:spacing w:before="60" w:after="280" w:line="240" w:lineRule="auto"/>
        <w:outlineLvl w:val="1"/>
        <w:rPr>
          <w:rFonts w:ascii="Arial" w:eastAsia="Calibri" w:hAnsi="Arial" w:cs="Arial"/>
          <w:b/>
          <w:bCs/>
          <w:color w:val="231F20"/>
          <w:kern w:val="0"/>
          <w:sz w:val="28"/>
          <w:szCs w:val="28"/>
          <w14:ligatures w14:val="none"/>
        </w:rPr>
      </w:pPr>
      <w:r w:rsidRPr="00994094">
        <w:rPr>
          <w:rFonts w:ascii="Arial" w:eastAsia="Times New Roman" w:hAnsi="Arial" w:cs="Times New Roman"/>
          <w:color w:val="005EB8"/>
          <w:kern w:val="0"/>
          <w:sz w:val="28"/>
          <w:szCs w:val="28"/>
          <w14:ligatures w14:val="none"/>
        </w:rPr>
        <w:t xml:space="preserve">Domain 1: </w:t>
      </w:r>
      <w:bookmarkStart w:id="0" w:name="_Hlk41581972"/>
      <w:r w:rsidRPr="00994094">
        <w:rPr>
          <w:rFonts w:ascii="Arial" w:eastAsia="Times New Roman" w:hAnsi="Arial" w:cs="Times New Roman"/>
          <w:color w:val="005EB8"/>
          <w:kern w:val="0"/>
          <w:sz w:val="28"/>
          <w:szCs w:val="28"/>
          <w14:ligatures w14:val="none"/>
        </w:rPr>
        <w:t>Commissioned or provided services</w:t>
      </w:r>
      <w:bookmarkEnd w:id="0"/>
      <w:r w:rsidR="00C32595" w:rsidRPr="00994094">
        <w:rPr>
          <w:rFonts w:ascii="Arial" w:eastAsia="Times New Roman" w:hAnsi="Arial" w:cs="Times New Roman"/>
          <w:color w:val="005EB8"/>
          <w:kern w:val="0"/>
          <w:sz w:val="28"/>
          <w:szCs w:val="28"/>
          <w14:ligatures w14:val="none"/>
        </w:rPr>
        <w:t xml:space="preserve"> - </w:t>
      </w:r>
      <w:r w:rsidRPr="00994094">
        <w:rPr>
          <w:rFonts w:ascii="Arial" w:eastAsia="Calibri" w:hAnsi="Arial" w:cs="Arial"/>
          <w:b/>
          <w:bCs/>
          <w:color w:val="231F20"/>
          <w:kern w:val="0"/>
          <w:sz w:val="28"/>
          <w:szCs w:val="28"/>
          <w14:ligatures w14:val="none"/>
        </w:rPr>
        <w:t xml:space="preserve">Perinatal </w:t>
      </w:r>
      <w:r w:rsidR="00F84754" w:rsidRPr="00994094">
        <w:rPr>
          <w:rFonts w:ascii="Arial" w:eastAsia="Calibri" w:hAnsi="Arial" w:cs="Arial"/>
          <w:b/>
          <w:bCs/>
          <w:color w:val="231F20"/>
          <w:kern w:val="0"/>
          <w:sz w:val="28"/>
          <w:szCs w:val="28"/>
          <w14:ligatures w14:val="none"/>
        </w:rPr>
        <w:t>Community Mental</w:t>
      </w:r>
      <w:r w:rsidRPr="00994094">
        <w:rPr>
          <w:rFonts w:ascii="Arial" w:eastAsia="Calibri" w:hAnsi="Arial" w:cs="Arial"/>
          <w:b/>
          <w:bCs/>
          <w:color w:val="231F20"/>
          <w:kern w:val="0"/>
          <w:sz w:val="28"/>
          <w:szCs w:val="28"/>
          <w14:ligatures w14:val="none"/>
        </w:rPr>
        <w:t xml:space="preserve"> Health Services</w:t>
      </w:r>
    </w:p>
    <w:tbl>
      <w:tblPr>
        <w:tblStyle w:val="TableGrid2"/>
        <w:tblpPr w:leftFromText="180" w:rightFromText="180" w:vertAnchor="page" w:horzAnchor="margin" w:tblpY="2566"/>
        <w:tblW w:w="0" w:type="auto"/>
        <w:tblBorders>
          <w:top w:val="single" w:sz="4" w:space="0" w:color="768692"/>
          <w:left w:val="single" w:sz="4" w:space="0" w:color="768692"/>
          <w:bottom w:val="single" w:sz="4" w:space="0" w:color="768692"/>
          <w:right w:val="single" w:sz="4" w:space="0" w:color="768692"/>
          <w:insideH w:val="single" w:sz="4" w:space="0" w:color="768692"/>
          <w:insideV w:val="single" w:sz="4" w:space="0" w:color="768692"/>
        </w:tblBorders>
        <w:tblCellMar>
          <w:top w:w="62" w:type="dxa"/>
          <w:left w:w="62" w:type="dxa"/>
          <w:bottom w:w="62" w:type="dxa"/>
          <w:right w:w="62" w:type="dxa"/>
        </w:tblCellMar>
        <w:tblLook w:val="04A0" w:firstRow="1" w:lastRow="0" w:firstColumn="1" w:lastColumn="0" w:noHBand="0" w:noVBand="1"/>
      </w:tblPr>
      <w:tblGrid>
        <w:gridCol w:w="1088"/>
        <w:gridCol w:w="3165"/>
        <w:gridCol w:w="6476"/>
        <w:gridCol w:w="1271"/>
        <w:gridCol w:w="1948"/>
      </w:tblGrid>
      <w:tr w:rsidR="00C607C2" w:rsidRPr="00C607C2" w14:paraId="7C41EE91" w14:textId="77777777" w:rsidTr="00C32595">
        <w:tc>
          <w:tcPr>
            <w:tcW w:w="1094" w:type="dxa"/>
            <w:shd w:val="clear" w:color="auto" w:fill="BDDEFF"/>
          </w:tcPr>
          <w:p w14:paraId="210D4E8A" w14:textId="77777777" w:rsidR="00C607C2" w:rsidRPr="00C607C2" w:rsidRDefault="00C607C2" w:rsidP="00C607C2">
            <w:pPr>
              <w:rPr>
                <w:rFonts w:cs="Arial"/>
                <w:b/>
              </w:rPr>
            </w:pPr>
            <w:r w:rsidRPr="00C607C2">
              <w:rPr>
                <w:rFonts w:cs="Arial"/>
                <w:b/>
              </w:rPr>
              <w:t>Domain</w:t>
            </w:r>
          </w:p>
        </w:tc>
        <w:tc>
          <w:tcPr>
            <w:tcW w:w="3263" w:type="dxa"/>
            <w:shd w:val="clear" w:color="auto" w:fill="BDDEFF"/>
          </w:tcPr>
          <w:p w14:paraId="168AD835" w14:textId="77777777" w:rsidR="00C607C2" w:rsidRPr="00C607C2" w:rsidRDefault="00C607C2" w:rsidP="00C607C2">
            <w:pPr>
              <w:rPr>
                <w:rFonts w:cs="Arial"/>
                <w:b/>
              </w:rPr>
            </w:pPr>
            <w:r w:rsidRPr="00C607C2">
              <w:rPr>
                <w:rFonts w:cs="Arial"/>
                <w:b/>
              </w:rPr>
              <w:t>Outcome</w:t>
            </w:r>
          </w:p>
        </w:tc>
        <w:tc>
          <w:tcPr>
            <w:tcW w:w="6695" w:type="dxa"/>
            <w:shd w:val="clear" w:color="auto" w:fill="BDDEFF"/>
          </w:tcPr>
          <w:p w14:paraId="67951516" w14:textId="77777777" w:rsidR="00C607C2" w:rsidRPr="00C607C2" w:rsidRDefault="00C607C2" w:rsidP="00C607C2">
            <w:pPr>
              <w:rPr>
                <w:rFonts w:cs="Arial"/>
                <w:b/>
              </w:rPr>
            </w:pPr>
            <w:r w:rsidRPr="00C607C2">
              <w:rPr>
                <w:rFonts w:cs="Arial"/>
                <w:b/>
              </w:rPr>
              <w:t xml:space="preserve">Evidence </w:t>
            </w:r>
          </w:p>
        </w:tc>
        <w:tc>
          <w:tcPr>
            <w:tcW w:w="850" w:type="dxa"/>
            <w:shd w:val="clear" w:color="auto" w:fill="BDDEFF"/>
          </w:tcPr>
          <w:p w14:paraId="5D56D0CC" w14:textId="77777777" w:rsidR="00C607C2" w:rsidRPr="00C607C2" w:rsidRDefault="00C607C2" w:rsidP="00C607C2">
            <w:pPr>
              <w:rPr>
                <w:rFonts w:cs="Arial"/>
                <w:b/>
              </w:rPr>
            </w:pPr>
            <w:r w:rsidRPr="00C607C2">
              <w:rPr>
                <w:rFonts w:cs="Arial"/>
                <w:b/>
              </w:rPr>
              <w:t xml:space="preserve">Rating </w:t>
            </w:r>
          </w:p>
        </w:tc>
        <w:tc>
          <w:tcPr>
            <w:tcW w:w="1985" w:type="dxa"/>
            <w:shd w:val="clear" w:color="auto" w:fill="BDDEFF"/>
          </w:tcPr>
          <w:p w14:paraId="6694F9D9" w14:textId="77777777" w:rsidR="00C607C2" w:rsidRPr="00C607C2" w:rsidRDefault="00C607C2" w:rsidP="00C607C2">
            <w:pPr>
              <w:rPr>
                <w:rFonts w:cs="Arial"/>
                <w:b/>
              </w:rPr>
            </w:pPr>
            <w:r w:rsidRPr="00C607C2">
              <w:rPr>
                <w:rFonts w:cs="Arial"/>
                <w:b/>
              </w:rPr>
              <w:t>Owner Dept/Lead</w:t>
            </w:r>
          </w:p>
        </w:tc>
      </w:tr>
      <w:tr w:rsidR="00C607C2" w:rsidRPr="00C607C2" w14:paraId="0EEB0986" w14:textId="77777777" w:rsidTr="00C32595">
        <w:trPr>
          <w:cantSplit/>
          <w:trHeight w:val="1134"/>
        </w:trPr>
        <w:tc>
          <w:tcPr>
            <w:tcW w:w="1094" w:type="dxa"/>
            <w:vMerge w:val="restart"/>
            <w:shd w:val="clear" w:color="auto" w:fill="BDDEFF"/>
            <w:textDirection w:val="btLr"/>
            <w:vAlign w:val="center"/>
          </w:tcPr>
          <w:p w14:paraId="086A30BB" w14:textId="77777777" w:rsidR="00C607C2" w:rsidRPr="00C607C2" w:rsidRDefault="00C607C2" w:rsidP="00C607C2">
            <w:pPr>
              <w:jc w:val="both"/>
              <w:rPr>
                <w:rFonts w:cs="Arial"/>
                <w:b/>
                <w:i/>
              </w:rPr>
            </w:pPr>
            <w:r w:rsidRPr="00C607C2">
              <w:rPr>
                <w:rFonts w:cs="Arial"/>
                <w:b/>
                <w:i/>
              </w:rPr>
              <w:t>Domain 1: Commissioned or provided services</w:t>
            </w:r>
          </w:p>
          <w:p w14:paraId="6CDC39BE" w14:textId="77777777" w:rsidR="00C607C2" w:rsidRPr="00C607C2" w:rsidRDefault="00C607C2" w:rsidP="00C607C2">
            <w:pPr>
              <w:ind w:left="113" w:right="113"/>
              <w:jc w:val="center"/>
              <w:rPr>
                <w:rFonts w:cs="Arial"/>
              </w:rPr>
            </w:pPr>
          </w:p>
        </w:tc>
        <w:tc>
          <w:tcPr>
            <w:tcW w:w="3263" w:type="dxa"/>
            <w:shd w:val="clear" w:color="auto" w:fill="BDDEFF"/>
            <w:vAlign w:val="center"/>
          </w:tcPr>
          <w:p w14:paraId="57A0169F" w14:textId="77777777" w:rsidR="00C607C2" w:rsidRPr="00C607C2" w:rsidRDefault="00C607C2" w:rsidP="00C607C2">
            <w:pPr>
              <w:rPr>
                <w:rFonts w:cs="Arial"/>
                <w:b/>
              </w:rPr>
            </w:pPr>
            <w:r w:rsidRPr="00C607C2">
              <w:rPr>
                <w:rFonts w:cs="Arial"/>
              </w:rPr>
              <w:t xml:space="preserve">1A: </w:t>
            </w:r>
            <w:r w:rsidRPr="00C607C2">
              <w:rPr>
                <w:rFonts w:cs="Arial"/>
                <w:bCs/>
              </w:rPr>
              <w:t>Patients (service users) have required levels of access to the service</w:t>
            </w:r>
          </w:p>
        </w:tc>
        <w:tc>
          <w:tcPr>
            <w:tcW w:w="6695" w:type="dxa"/>
          </w:tcPr>
          <w:p w14:paraId="3390C17B" w14:textId="77777777" w:rsidR="00C607C2" w:rsidRPr="00C607C2" w:rsidRDefault="00C607C2" w:rsidP="00C607C2">
            <w:pPr>
              <w:numPr>
                <w:ilvl w:val="0"/>
                <w:numId w:val="1"/>
              </w:numPr>
            </w:pPr>
            <w:r w:rsidRPr="00C607C2">
              <w:t xml:space="preserve">Duty and Urgent Assessment Team (DUAT) established to work alongside the community perinatal mental health team and offers additional support on assessments and monitoring of vulnerable service users. </w:t>
            </w:r>
          </w:p>
          <w:p w14:paraId="535B5EDA" w14:textId="77777777" w:rsidR="00C607C2" w:rsidRPr="00C607C2" w:rsidRDefault="00C607C2" w:rsidP="00C607C2">
            <w:pPr>
              <w:numPr>
                <w:ilvl w:val="0"/>
                <w:numId w:val="1"/>
              </w:numPr>
            </w:pPr>
            <w:r w:rsidRPr="00C607C2">
              <w:t>Appointment of two part time peer support workers of lived experience whose remit is engagement and raising awareness of the perinatal service.</w:t>
            </w:r>
          </w:p>
          <w:p w14:paraId="7352C2DC" w14:textId="77777777" w:rsidR="00C607C2" w:rsidRPr="00C607C2" w:rsidRDefault="00C607C2" w:rsidP="00C607C2">
            <w:pPr>
              <w:numPr>
                <w:ilvl w:val="0"/>
                <w:numId w:val="1"/>
              </w:numPr>
            </w:pPr>
            <w:r w:rsidRPr="00C607C2">
              <w:t>Established Dads/Partner support worker roles to support dads and partners.</w:t>
            </w:r>
          </w:p>
          <w:p w14:paraId="490A60D1" w14:textId="77777777" w:rsidR="00C607C2" w:rsidRPr="00C607C2" w:rsidRDefault="00C607C2" w:rsidP="00C607C2">
            <w:pPr>
              <w:numPr>
                <w:ilvl w:val="0"/>
                <w:numId w:val="1"/>
              </w:numPr>
              <w:rPr>
                <w:i/>
                <w:iCs/>
              </w:rPr>
            </w:pPr>
            <w:r w:rsidRPr="00C607C2">
              <w:t xml:space="preserve">Community targeted celebration and engagement events in partnership with maternity colleagues across place </w:t>
            </w:r>
            <w:proofErr w:type="spellStart"/>
            <w:r w:rsidRPr="00C607C2">
              <w:rPr>
                <w:i/>
                <w:iCs/>
              </w:rPr>
              <w:t>eg.</w:t>
            </w:r>
            <w:proofErr w:type="spellEnd"/>
            <w:r w:rsidRPr="00C607C2">
              <w:rPr>
                <w:i/>
                <w:iCs/>
              </w:rPr>
              <w:t xml:space="preserve"> World Mental Health day and Perinatal Mental Health awareness week. </w:t>
            </w:r>
          </w:p>
          <w:p w14:paraId="2E31052C" w14:textId="77777777" w:rsidR="00C607C2" w:rsidRPr="00C607C2" w:rsidRDefault="00C607C2" w:rsidP="00C607C2">
            <w:pPr>
              <w:numPr>
                <w:ilvl w:val="0"/>
                <w:numId w:val="1"/>
              </w:numPr>
            </w:pPr>
            <w:r w:rsidRPr="00C607C2">
              <w:t xml:space="preserve">Multi-agency perinatal training offered across place systems </w:t>
            </w:r>
          </w:p>
          <w:p w14:paraId="01668AE3" w14:textId="03D33A91" w:rsidR="00C32595" w:rsidRPr="00C607C2" w:rsidRDefault="00C607C2" w:rsidP="00C607C2">
            <w:pPr>
              <w:numPr>
                <w:ilvl w:val="0"/>
                <w:numId w:val="1"/>
              </w:numPr>
            </w:pPr>
            <w:r w:rsidRPr="00C607C2">
              <w:t xml:space="preserve">Deep dive data analysis on ethnicity and diverse community access. </w:t>
            </w:r>
          </w:p>
          <w:p w14:paraId="030E1764" w14:textId="77777777" w:rsidR="00C607C2" w:rsidRPr="00C607C2" w:rsidRDefault="00C607C2" w:rsidP="00C607C2">
            <w:pPr>
              <w:numPr>
                <w:ilvl w:val="0"/>
                <w:numId w:val="1"/>
              </w:numPr>
            </w:pPr>
            <w:r w:rsidRPr="00C607C2">
              <w:t xml:space="preserve">Established Diverse Mums group based in the heart of the community, open to service users from culturally diverse backgrounds. </w:t>
            </w:r>
          </w:p>
          <w:p w14:paraId="4EA40496" w14:textId="77777777" w:rsidR="00C607C2" w:rsidRPr="00C607C2" w:rsidRDefault="00C607C2" w:rsidP="00C607C2">
            <w:pPr>
              <w:numPr>
                <w:ilvl w:val="0"/>
                <w:numId w:val="1"/>
              </w:numPr>
            </w:pPr>
            <w:r w:rsidRPr="00C607C2">
              <w:t>Access to service - Accessible information available in translated languages (leaflets and videos)</w:t>
            </w:r>
          </w:p>
          <w:p w14:paraId="0550BD40" w14:textId="4906020B" w:rsidR="00C607C2" w:rsidRPr="00C607C2" w:rsidRDefault="00C607C2" w:rsidP="00C607C2">
            <w:pPr>
              <w:numPr>
                <w:ilvl w:val="0"/>
                <w:numId w:val="1"/>
              </w:numPr>
            </w:pPr>
            <w:r w:rsidRPr="00C607C2">
              <w:t xml:space="preserve">Instagram Post on perinatal information and what’s on.  </w:t>
            </w:r>
          </w:p>
          <w:p w14:paraId="0578E0B3" w14:textId="77777777" w:rsidR="00C607C2" w:rsidRPr="00C607C2" w:rsidRDefault="00C607C2" w:rsidP="00C607C2">
            <w:pPr>
              <w:numPr>
                <w:ilvl w:val="0"/>
                <w:numId w:val="1"/>
              </w:numPr>
            </w:pPr>
            <w:r w:rsidRPr="00C607C2">
              <w:lastRenderedPageBreak/>
              <w:t xml:space="preserve">Service Evaluation measuring the equity of access to psychological therapies for women of the global majority. </w:t>
            </w:r>
          </w:p>
          <w:p w14:paraId="0950D918" w14:textId="77777777" w:rsidR="00C607C2" w:rsidRPr="00C607C2" w:rsidRDefault="00C607C2" w:rsidP="00C607C2"/>
          <w:p w14:paraId="7DA52BAE" w14:textId="77777777" w:rsidR="00C607C2" w:rsidRPr="00C607C2" w:rsidRDefault="00C607C2" w:rsidP="00C607C2"/>
          <w:p w14:paraId="4489BABB" w14:textId="77777777" w:rsidR="00C607C2" w:rsidRPr="00C607C2" w:rsidRDefault="00C607C2" w:rsidP="00C607C2">
            <w:pPr>
              <w:rPr>
                <w:b/>
                <w:bCs/>
                <w:u w:val="single"/>
              </w:rPr>
            </w:pPr>
            <w:r w:rsidRPr="00C607C2">
              <w:rPr>
                <w:b/>
                <w:bCs/>
                <w:u w:val="single"/>
              </w:rPr>
              <w:t xml:space="preserve">General </w:t>
            </w:r>
          </w:p>
          <w:p w14:paraId="72CD6FF9" w14:textId="77777777" w:rsidR="00C607C2" w:rsidRPr="00C607C2" w:rsidRDefault="00C607C2" w:rsidP="00C607C2">
            <w:pPr>
              <w:numPr>
                <w:ilvl w:val="0"/>
                <w:numId w:val="1"/>
              </w:numPr>
            </w:pPr>
            <w:r w:rsidRPr="00C607C2">
              <w:t>All policies have an Equality Impact Assessment</w:t>
            </w:r>
          </w:p>
          <w:p w14:paraId="4E4D8DB4" w14:textId="77777777" w:rsidR="00C607C2" w:rsidRPr="00C607C2" w:rsidRDefault="00C607C2" w:rsidP="00C607C2">
            <w:pPr>
              <w:numPr>
                <w:ilvl w:val="0"/>
                <w:numId w:val="1"/>
              </w:numPr>
            </w:pPr>
            <w:r w:rsidRPr="00C607C2">
              <w:t xml:space="preserve">Multi-faith chaplaincy supports available </w:t>
            </w:r>
          </w:p>
          <w:p w14:paraId="1042221D" w14:textId="77777777" w:rsidR="00C607C2" w:rsidRPr="00C607C2" w:rsidRDefault="00C607C2" w:rsidP="00C607C2">
            <w:pPr>
              <w:numPr>
                <w:ilvl w:val="0"/>
                <w:numId w:val="1"/>
              </w:numPr>
            </w:pPr>
            <w:r w:rsidRPr="00C607C2">
              <w:t>Accessible Information Standard Policy</w:t>
            </w:r>
          </w:p>
          <w:p w14:paraId="54235F57" w14:textId="77777777" w:rsidR="00C607C2" w:rsidRPr="00C607C2" w:rsidRDefault="00C607C2" w:rsidP="00C607C2">
            <w:pPr>
              <w:numPr>
                <w:ilvl w:val="0"/>
                <w:numId w:val="1"/>
              </w:numPr>
            </w:pPr>
            <w:r w:rsidRPr="00C607C2">
              <w:t>Rainbow lanyards</w:t>
            </w:r>
          </w:p>
          <w:p w14:paraId="6C0D7E45" w14:textId="77777777" w:rsidR="00C607C2" w:rsidRPr="00C607C2" w:rsidRDefault="00C607C2" w:rsidP="00C607C2">
            <w:pPr>
              <w:numPr>
                <w:ilvl w:val="0"/>
                <w:numId w:val="1"/>
              </w:numPr>
            </w:pPr>
            <w:r w:rsidRPr="00C607C2">
              <w:t>Patient Advice and Liaison Service</w:t>
            </w:r>
          </w:p>
          <w:p w14:paraId="5CB20BF5" w14:textId="77777777" w:rsidR="00C607C2" w:rsidRPr="00C607C2" w:rsidRDefault="00C607C2" w:rsidP="00C607C2">
            <w:pPr>
              <w:numPr>
                <w:ilvl w:val="0"/>
                <w:numId w:val="1"/>
              </w:numPr>
            </w:pPr>
            <w:r w:rsidRPr="00C607C2">
              <w:t>Patient Experience and Involvement team</w:t>
            </w:r>
          </w:p>
          <w:p w14:paraId="3581AF9D" w14:textId="77777777" w:rsidR="00C607C2" w:rsidRPr="00C607C2" w:rsidRDefault="00C607C2" w:rsidP="00C607C2">
            <w:pPr>
              <w:numPr>
                <w:ilvl w:val="0"/>
                <w:numId w:val="1"/>
              </w:numPr>
            </w:pPr>
            <w:r w:rsidRPr="00C607C2">
              <w:t xml:space="preserve">Interpreting and Translation Procedure </w:t>
            </w:r>
          </w:p>
          <w:p w14:paraId="4B3AEC4E" w14:textId="77777777" w:rsidR="00C607C2" w:rsidRPr="00C607C2" w:rsidRDefault="00C607C2" w:rsidP="00C607C2">
            <w:pPr>
              <w:numPr>
                <w:ilvl w:val="0"/>
                <w:numId w:val="1"/>
              </w:numPr>
            </w:pPr>
            <w:r w:rsidRPr="00C607C2">
              <w:t>Volunteers Policy</w:t>
            </w:r>
          </w:p>
          <w:p w14:paraId="2E88571C" w14:textId="77777777" w:rsidR="00C607C2" w:rsidRPr="00C607C2" w:rsidRDefault="00C607C2" w:rsidP="00C607C2">
            <w:pPr>
              <w:numPr>
                <w:ilvl w:val="0"/>
                <w:numId w:val="1"/>
              </w:numPr>
            </w:pPr>
            <w:r w:rsidRPr="00C607C2">
              <w:t>Single Sex Accommodation policy</w:t>
            </w:r>
          </w:p>
          <w:p w14:paraId="3F82A0CB" w14:textId="77777777" w:rsidR="00C607C2" w:rsidRPr="00C607C2" w:rsidRDefault="00C607C2" w:rsidP="00C607C2">
            <w:pPr>
              <w:numPr>
                <w:ilvl w:val="0"/>
                <w:numId w:val="1"/>
              </w:numPr>
            </w:pPr>
            <w:r w:rsidRPr="00C607C2">
              <w:t xml:space="preserve">Transgender procedure for service users  </w:t>
            </w:r>
          </w:p>
          <w:p w14:paraId="115F5A80" w14:textId="77777777" w:rsidR="00C607C2" w:rsidRPr="00C607C2" w:rsidRDefault="00C607C2" w:rsidP="00C607C2">
            <w:pPr>
              <w:ind w:left="430"/>
            </w:pPr>
          </w:p>
        </w:tc>
        <w:tc>
          <w:tcPr>
            <w:tcW w:w="850" w:type="dxa"/>
          </w:tcPr>
          <w:p w14:paraId="121F904F" w14:textId="77777777" w:rsidR="00C607C2" w:rsidRPr="00C607C2" w:rsidRDefault="00C607C2" w:rsidP="00C607C2">
            <w:pPr>
              <w:jc w:val="center"/>
              <w:rPr>
                <w:b/>
                <w:bCs/>
              </w:rPr>
            </w:pPr>
            <w:r w:rsidRPr="00C607C2">
              <w:rPr>
                <w:b/>
                <w:bCs/>
              </w:rPr>
              <w:lastRenderedPageBreak/>
              <w:t>Achieving 2</w:t>
            </w:r>
          </w:p>
        </w:tc>
        <w:tc>
          <w:tcPr>
            <w:tcW w:w="1985" w:type="dxa"/>
          </w:tcPr>
          <w:p w14:paraId="5FEFD5D4" w14:textId="77777777" w:rsidR="00C607C2" w:rsidRPr="00C607C2" w:rsidRDefault="00C607C2" w:rsidP="00C607C2">
            <w:pPr>
              <w:rPr>
                <w:b/>
                <w:bCs/>
              </w:rPr>
            </w:pPr>
            <w:r w:rsidRPr="00C607C2">
              <w:rPr>
                <w:b/>
                <w:bCs/>
              </w:rPr>
              <w:t xml:space="preserve">Perinatal Service </w:t>
            </w:r>
          </w:p>
        </w:tc>
      </w:tr>
      <w:tr w:rsidR="00C607C2" w:rsidRPr="00C607C2" w14:paraId="376BF77B" w14:textId="77777777" w:rsidTr="00C32595">
        <w:trPr>
          <w:cantSplit/>
          <w:trHeight w:val="1134"/>
        </w:trPr>
        <w:tc>
          <w:tcPr>
            <w:tcW w:w="1094" w:type="dxa"/>
            <w:vMerge/>
            <w:shd w:val="clear" w:color="auto" w:fill="BDDEFF"/>
          </w:tcPr>
          <w:p w14:paraId="69D9158C" w14:textId="77777777" w:rsidR="00C607C2" w:rsidRPr="00C607C2" w:rsidRDefault="00C607C2" w:rsidP="00C607C2">
            <w:pPr>
              <w:rPr>
                <w:rFonts w:cs="Arial"/>
              </w:rPr>
            </w:pPr>
          </w:p>
        </w:tc>
        <w:tc>
          <w:tcPr>
            <w:tcW w:w="3263" w:type="dxa"/>
            <w:shd w:val="clear" w:color="auto" w:fill="BDDEFF"/>
            <w:vAlign w:val="center"/>
          </w:tcPr>
          <w:p w14:paraId="481C7AB8" w14:textId="77777777" w:rsidR="00C607C2" w:rsidRPr="00C607C2" w:rsidRDefault="00C607C2" w:rsidP="00C607C2">
            <w:pPr>
              <w:rPr>
                <w:rFonts w:cs="Arial"/>
              </w:rPr>
            </w:pPr>
            <w:r w:rsidRPr="00C607C2">
              <w:rPr>
                <w:rFonts w:cs="Arial"/>
              </w:rPr>
              <w:t>1B: Individual p</w:t>
            </w:r>
            <w:r w:rsidRPr="00C607C2">
              <w:rPr>
                <w:rFonts w:cs="Arial"/>
                <w:bCs/>
              </w:rPr>
              <w:t xml:space="preserve">atients (service users) </w:t>
            </w:r>
            <w:r w:rsidRPr="00C607C2">
              <w:rPr>
                <w:rFonts w:cs="Arial"/>
              </w:rPr>
              <w:t>health needs are met</w:t>
            </w:r>
          </w:p>
        </w:tc>
        <w:tc>
          <w:tcPr>
            <w:tcW w:w="6695" w:type="dxa"/>
          </w:tcPr>
          <w:p w14:paraId="079CBD0A" w14:textId="77777777" w:rsidR="00C607C2" w:rsidRPr="00C607C2" w:rsidRDefault="00C607C2" w:rsidP="00C607C2">
            <w:pPr>
              <w:numPr>
                <w:ilvl w:val="0"/>
                <w:numId w:val="1"/>
              </w:numPr>
            </w:pPr>
            <w:r w:rsidRPr="00C607C2">
              <w:t>Membership and representative at Maternity Voice Partnership forum. This forum provides the opportunity for the maternity pathway (including perinatal MH) and commissioners to share best practices on maternity care and develop new ways of working to mee the needs of local women, parents, and families.</w:t>
            </w:r>
          </w:p>
          <w:p w14:paraId="230CD418" w14:textId="77777777" w:rsidR="00C607C2" w:rsidRPr="00C607C2" w:rsidRDefault="00C607C2" w:rsidP="00C607C2">
            <w:pPr>
              <w:numPr>
                <w:ilvl w:val="0"/>
                <w:numId w:val="1"/>
              </w:numPr>
            </w:pPr>
            <w:r w:rsidRPr="00C607C2">
              <w:t xml:space="preserve">Established Engagement, Access, and Inclusion Coordinator to support the perinatal mental health teams provide an inclusive approach to care. </w:t>
            </w:r>
          </w:p>
          <w:p w14:paraId="3E315DAF" w14:textId="77777777" w:rsidR="00C607C2" w:rsidRPr="00C607C2" w:rsidRDefault="00C607C2" w:rsidP="00C607C2">
            <w:pPr>
              <w:numPr>
                <w:ilvl w:val="0"/>
                <w:numId w:val="1"/>
              </w:numPr>
              <w:rPr>
                <w:rFonts w:cs="Arial"/>
                <w:bCs/>
                <w:lang w:eastAsia="en-GB"/>
              </w:rPr>
            </w:pPr>
            <w:r w:rsidRPr="00C607C2">
              <w:t>Group programme available for service uses and their families</w:t>
            </w:r>
            <w:r w:rsidRPr="00C607C2">
              <w:rPr>
                <w:rFonts w:cs="Arial"/>
                <w:szCs w:val="28"/>
                <w:lang w:eastAsia="en-GB"/>
              </w:rPr>
              <w:t xml:space="preserve"> including a Compassion focussed group/circle of security, </w:t>
            </w:r>
            <w:r w:rsidRPr="00C607C2">
              <w:rPr>
                <w:rFonts w:cs="Arial"/>
                <w:bCs/>
                <w:lang w:eastAsia="en-GB"/>
              </w:rPr>
              <w:t>Antenatal Group, Understanding your baby, peer support group, baby massage, singing group, sensory group, and a sibling’s group.</w:t>
            </w:r>
            <w:r w:rsidRPr="00C607C2">
              <w:t xml:space="preserve"> </w:t>
            </w:r>
          </w:p>
          <w:p w14:paraId="06E3C890" w14:textId="77777777" w:rsidR="00C607C2" w:rsidRPr="00C607C2" w:rsidRDefault="00C607C2" w:rsidP="00C607C2">
            <w:pPr>
              <w:numPr>
                <w:ilvl w:val="0"/>
                <w:numId w:val="1"/>
              </w:numPr>
              <w:rPr>
                <w:rFonts w:cs="Arial"/>
                <w:bCs/>
                <w:lang w:eastAsia="en-GB"/>
              </w:rPr>
            </w:pPr>
            <w:r w:rsidRPr="00C607C2">
              <w:rPr>
                <w:rFonts w:cs="Arial"/>
                <w:bCs/>
                <w:lang w:eastAsia="en-GB"/>
              </w:rPr>
              <w:lastRenderedPageBreak/>
              <w:t xml:space="preserve">Diverse Mum’s Group – a safe space for pregnant women and new mums from diverse ethnic backgrounds to share their cultural experience together. </w:t>
            </w:r>
          </w:p>
          <w:p w14:paraId="6B91E273" w14:textId="77777777" w:rsidR="00C607C2" w:rsidRPr="00C607C2" w:rsidRDefault="00C607C2" w:rsidP="00C607C2">
            <w:pPr>
              <w:numPr>
                <w:ilvl w:val="0"/>
                <w:numId w:val="1"/>
              </w:numPr>
              <w:rPr>
                <w:rFonts w:cs="Arial"/>
                <w:bCs/>
                <w:lang w:eastAsia="en-GB"/>
              </w:rPr>
            </w:pPr>
            <w:r w:rsidRPr="00C607C2">
              <w:rPr>
                <w:rFonts w:cs="Arial"/>
                <w:bCs/>
                <w:lang w:eastAsia="en-GB"/>
              </w:rPr>
              <w:t>In collaboration with the maternity services the Diverse Mums’ Group co-designed and produced a perinatal mental health leaflet to be placed in all maternity packs as the group highlighted a gap in this provision. Leaflets also available in different languages. In addition to British Sign language Video on the service website, that can be access via a QR code on the perinatal leaflet that is in English.</w:t>
            </w:r>
          </w:p>
          <w:p w14:paraId="56A94113" w14:textId="77777777" w:rsidR="00C607C2" w:rsidRPr="00C607C2" w:rsidRDefault="00C607C2" w:rsidP="00C607C2">
            <w:pPr>
              <w:numPr>
                <w:ilvl w:val="0"/>
                <w:numId w:val="1"/>
              </w:numPr>
            </w:pPr>
            <w:r w:rsidRPr="00C607C2">
              <w:rPr>
                <w:rFonts w:cs="Arial"/>
                <w:bCs/>
                <w:lang w:eastAsia="en-GB"/>
              </w:rPr>
              <w:t>Psychological therapies</w:t>
            </w:r>
            <w:r w:rsidRPr="00C607C2">
              <w:rPr>
                <w:rFonts w:cs="Arial"/>
                <w:lang w:eastAsia="en-GB"/>
              </w:rPr>
              <w:t xml:space="preserve"> are tailored to the service user needs and involves a discussion with them either directly with the therapist at a first appointment, or through dialogue together with their care coordinator / consultant psychiatrist regarding which form of psychological support would be most useful.  </w:t>
            </w:r>
          </w:p>
          <w:p w14:paraId="363253F0" w14:textId="77777777" w:rsidR="00C607C2" w:rsidRPr="00C607C2" w:rsidRDefault="00C607C2" w:rsidP="00C607C2">
            <w:pPr>
              <w:numPr>
                <w:ilvl w:val="0"/>
                <w:numId w:val="1"/>
              </w:numPr>
            </w:pPr>
            <w:r w:rsidRPr="00C607C2">
              <w:t xml:space="preserve">Perinatal Physical Health Clinic - monthly outpatient face to face clinic offering routine investigations including smoking cessation, alcohol advice and diet &amp; lifestyle advice. </w:t>
            </w:r>
          </w:p>
          <w:p w14:paraId="43CAF674" w14:textId="77777777" w:rsidR="00C607C2" w:rsidRPr="00C607C2" w:rsidRDefault="00C607C2" w:rsidP="00C607C2">
            <w:pPr>
              <w:numPr>
                <w:ilvl w:val="0"/>
                <w:numId w:val="1"/>
              </w:numPr>
              <w:rPr>
                <w:b/>
                <w:bCs/>
              </w:rPr>
            </w:pPr>
            <w:r w:rsidRPr="00C607C2">
              <w:t>Wellbeing pods - routine assessments, are offer in the newly developed wellbeing pods which removes barriers for service users such as distance to travel, cost, and reluctance to attend</w:t>
            </w:r>
            <w:r w:rsidRPr="00C607C2">
              <w:rPr>
                <w:b/>
                <w:bCs/>
              </w:rPr>
              <w:t xml:space="preserve"> </w:t>
            </w:r>
            <w:r w:rsidRPr="00C607C2">
              <w:t xml:space="preserve">appointments in a hospital setting. These settings are also more child friendly. The service routinely asks services users whether they would like a copy of their clinic letter and write letters to our service users and copy in the GP. This enables service users to be informed about their care at every step of their perinatal journey. </w:t>
            </w:r>
          </w:p>
        </w:tc>
        <w:tc>
          <w:tcPr>
            <w:tcW w:w="850" w:type="dxa"/>
          </w:tcPr>
          <w:p w14:paraId="5C5D98EE" w14:textId="77777777" w:rsidR="00C607C2" w:rsidRPr="00C607C2" w:rsidRDefault="00C607C2" w:rsidP="00C607C2">
            <w:pPr>
              <w:jc w:val="center"/>
              <w:rPr>
                <w:b/>
                <w:bCs/>
              </w:rPr>
            </w:pPr>
            <w:r w:rsidRPr="00C607C2">
              <w:rPr>
                <w:b/>
                <w:bCs/>
              </w:rPr>
              <w:lastRenderedPageBreak/>
              <w:t>Achieving 2</w:t>
            </w:r>
          </w:p>
        </w:tc>
        <w:tc>
          <w:tcPr>
            <w:tcW w:w="1985" w:type="dxa"/>
          </w:tcPr>
          <w:p w14:paraId="0DC0C5AB" w14:textId="77777777" w:rsidR="00C607C2" w:rsidRPr="00C607C2" w:rsidRDefault="00C607C2" w:rsidP="00C607C2">
            <w:pPr>
              <w:jc w:val="center"/>
              <w:rPr>
                <w:b/>
                <w:bCs/>
              </w:rPr>
            </w:pPr>
            <w:r w:rsidRPr="00C607C2">
              <w:rPr>
                <w:b/>
                <w:bCs/>
              </w:rPr>
              <w:t xml:space="preserve">Perinatal Service </w:t>
            </w:r>
          </w:p>
        </w:tc>
      </w:tr>
      <w:tr w:rsidR="00C607C2" w:rsidRPr="00C607C2" w14:paraId="783FAFE7" w14:textId="77777777" w:rsidTr="00C32595">
        <w:trPr>
          <w:cantSplit/>
          <w:trHeight w:val="1134"/>
        </w:trPr>
        <w:tc>
          <w:tcPr>
            <w:tcW w:w="1094" w:type="dxa"/>
            <w:vMerge/>
            <w:shd w:val="clear" w:color="auto" w:fill="BDDEFF"/>
          </w:tcPr>
          <w:p w14:paraId="4401F2AA" w14:textId="77777777" w:rsidR="00C607C2" w:rsidRPr="00C607C2" w:rsidRDefault="00C607C2" w:rsidP="00C607C2">
            <w:pPr>
              <w:rPr>
                <w:rFonts w:cs="Arial"/>
              </w:rPr>
            </w:pPr>
          </w:p>
        </w:tc>
        <w:tc>
          <w:tcPr>
            <w:tcW w:w="3263" w:type="dxa"/>
            <w:shd w:val="clear" w:color="auto" w:fill="BDDEFF"/>
            <w:vAlign w:val="center"/>
          </w:tcPr>
          <w:p w14:paraId="19C73A74" w14:textId="77777777" w:rsidR="00C607C2" w:rsidRPr="00C607C2" w:rsidRDefault="00C607C2" w:rsidP="00C607C2">
            <w:pPr>
              <w:rPr>
                <w:rFonts w:cs="Arial"/>
              </w:rPr>
            </w:pPr>
            <w:r w:rsidRPr="00C607C2">
              <w:rPr>
                <w:rFonts w:cs="Arial"/>
              </w:rPr>
              <w:t>1C: When p</w:t>
            </w:r>
            <w:r w:rsidRPr="00C607C2">
              <w:rPr>
                <w:rFonts w:cs="Arial"/>
                <w:bCs/>
              </w:rPr>
              <w:t xml:space="preserve">atients (service users) </w:t>
            </w:r>
            <w:r w:rsidRPr="00C607C2">
              <w:rPr>
                <w:rFonts w:cs="Arial"/>
              </w:rPr>
              <w:t>use the service, they are free from harm</w:t>
            </w:r>
          </w:p>
        </w:tc>
        <w:tc>
          <w:tcPr>
            <w:tcW w:w="6695" w:type="dxa"/>
          </w:tcPr>
          <w:p w14:paraId="0B1A2DB0" w14:textId="77777777" w:rsidR="00C607C2" w:rsidRPr="00C607C2" w:rsidRDefault="00C607C2" w:rsidP="00C607C2">
            <w:pPr>
              <w:numPr>
                <w:ilvl w:val="0"/>
                <w:numId w:val="1"/>
              </w:numPr>
              <w:spacing w:after="200" w:line="276" w:lineRule="auto"/>
              <w:contextualSpacing/>
              <w:rPr>
                <w:rFonts w:cs="Arial"/>
                <w:bCs/>
              </w:rPr>
            </w:pPr>
            <w:r w:rsidRPr="00C607C2">
              <w:rPr>
                <w:rFonts w:cs="Arial"/>
                <w:bCs/>
              </w:rPr>
              <w:t>The perinatal service, safe care focuses on the prevention of avoidable harm or risk of harm, ensuring service users and infants receive safe care and treatment. Their aims as a service are:</w:t>
            </w:r>
          </w:p>
          <w:p w14:paraId="06577F99" w14:textId="77777777" w:rsidR="00C607C2" w:rsidRPr="00C607C2" w:rsidRDefault="00C607C2" w:rsidP="00C607C2">
            <w:pPr>
              <w:numPr>
                <w:ilvl w:val="0"/>
                <w:numId w:val="2"/>
              </w:numPr>
              <w:spacing w:after="200" w:line="276" w:lineRule="auto"/>
              <w:contextualSpacing/>
              <w:rPr>
                <w:rFonts w:cs="Arial"/>
                <w:bCs/>
              </w:rPr>
            </w:pPr>
            <w:r w:rsidRPr="00C607C2">
              <w:rPr>
                <w:rFonts w:cs="Arial"/>
                <w:bCs/>
              </w:rPr>
              <w:t xml:space="preserve">To have no serious clinical incidents and a minimum number of Datix reports. </w:t>
            </w:r>
          </w:p>
          <w:p w14:paraId="65C6CF12" w14:textId="77777777" w:rsidR="00C607C2" w:rsidRPr="00C607C2" w:rsidRDefault="00C607C2" w:rsidP="00C607C2">
            <w:pPr>
              <w:numPr>
                <w:ilvl w:val="0"/>
                <w:numId w:val="2"/>
              </w:numPr>
              <w:spacing w:after="200" w:line="276" w:lineRule="auto"/>
              <w:contextualSpacing/>
              <w:rPr>
                <w:rFonts w:cs="Arial"/>
                <w:bCs/>
              </w:rPr>
            </w:pPr>
            <w:r w:rsidRPr="00C607C2">
              <w:rPr>
                <w:rFonts w:cs="Arial"/>
                <w:bCs/>
              </w:rPr>
              <w:t>To thoroughly review and learn from near misses, incidents, and safety concerns</w:t>
            </w:r>
          </w:p>
          <w:p w14:paraId="1702D21D" w14:textId="77777777" w:rsidR="00C607C2" w:rsidRPr="00C607C2" w:rsidRDefault="00C607C2" w:rsidP="00C607C2">
            <w:pPr>
              <w:numPr>
                <w:ilvl w:val="0"/>
                <w:numId w:val="2"/>
              </w:numPr>
              <w:spacing w:after="200" w:line="276" w:lineRule="auto"/>
              <w:contextualSpacing/>
              <w:rPr>
                <w:rFonts w:cs="Arial"/>
                <w:bCs/>
              </w:rPr>
            </w:pPr>
            <w:r w:rsidRPr="00C607C2">
              <w:rPr>
                <w:rFonts w:cs="Arial"/>
                <w:bCs/>
              </w:rPr>
              <w:t xml:space="preserve">To prioritise safe care and develop a culture when this is a priority for all staff within the service </w:t>
            </w:r>
          </w:p>
          <w:p w14:paraId="62435D94" w14:textId="77777777" w:rsidR="00C607C2" w:rsidRPr="00C607C2" w:rsidRDefault="00C607C2" w:rsidP="00C607C2">
            <w:pPr>
              <w:numPr>
                <w:ilvl w:val="0"/>
                <w:numId w:val="1"/>
              </w:numPr>
              <w:spacing w:after="200" w:line="276" w:lineRule="auto"/>
              <w:contextualSpacing/>
              <w:rPr>
                <w:rFonts w:cs="Arial"/>
                <w:bCs/>
              </w:rPr>
            </w:pPr>
            <w:r w:rsidRPr="00C607C2">
              <w:rPr>
                <w:rFonts w:cs="Arial"/>
                <w:bCs/>
              </w:rPr>
              <w:t xml:space="preserve">Risk assessments are carried out with all perinatal service users and care plans reflects interventions to support and mitigate against risk identified. </w:t>
            </w:r>
          </w:p>
          <w:p w14:paraId="4D69D5B3" w14:textId="77777777" w:rsidR="00C607C2" w:rsidRPr="00C607C2" w:rsidRDefault="00C607C2" w:rsidP="00C607C2">
            <w:pPr>
              <w:numPr>
                <w:ilvl w:val="0"/>
                <w:numId w:val="1"/>
              </w:numPr>
              <w:spacing w:after="200" w:line="276" w:lineRule="auto"/>
              <w:contextualSpacing/>
              <w:rPr>
                <w:rFonts w:cs="Arial"/>
                <w:bCs/>
              </w:rPr>
            </w:pPr>
            <w:r w:rsidRPr="00C607C2">
              <w:rPr>
                <w:rFonts w:cs="Arial"/>
                <w:lang w:eastAsia="en-GB"/>
              </w:rPr>
              <w:t>The DUAT team provide increased flexibility in timing and location of assessments to accommodate service user’s preference and other factors such as financial constraints and geography. The DUAT team provide continuity of care for acutely unwell and complex presentation of service users that enables consistency and on-going review of risks and presentation.</w:t>
            </w:r>
          </w:p>
          <w:p w14:paraId="7038132F" w14:textId="77777777" w:rsidR="00C607C2" w:rsidRPr="00C607C2" w:rsidRDefault="00C607C2" w:rsidP="00C607C2">
            <w:pPr>
              <w:numPr>
                <w:ilvl w:val="0"/>
                <w:numId w:val="1"/>
              </w:numPr>
              <w:spacing w:after="200" w:line="276" w:lineRule="auto"/>
              <w:contextualSpacing/>
              <w:rPr>
                <w:rFonts w:cs="Arial"/>
                <w:bCs/>
              </w:rPr>
            </w:pPr>
            <w:r w:rsidRPr="00C607C2">
              <w:rPr>
                <w:rFonts w:cs="Arial"/>
                <w:bCs/>
                <w:lang w:eastAsia="en-GB"/>
              </w:rPr>
              <w:t>A multi-agency/disciplinary approached is provided for service users who identifies with multi complex needs, to ensure information sharing and expertise.</w:t>
            </w:r>
          </w:p>
          <w:p w14:paraId="3244E624" w14:textId="77777777" w:rsidR="00C607C2" w:rsidRPr="00C607C2" w:rsidRDefault="00C607C2" w:rsidP="00C607C2">
            <w:pPr>
              <w:numPr>
                <w:ilvl w:val="0"/>
                <w:numId w:val="1"/>
              </w:numPr>
              <w:spacing w:after="200" w:line="276" w:lineRule="auto"/>
              <w:contextualSpacing/>
              <w:rPr>
                <w:rFonts w:cs="Arial"/>
                <w:bCs/>
              </w:rPr>
            </w:pPr>
            <w:r w:rsidRPr="00C607C2">
              <w:rPr>
                <w:rFonts w:cs="Arial"/>
                <w:bCs/>
                <w:lang w:eastAsia="en-GB"/>
              </w:rPr>
              <w:t xml:space="preserve">Incident and learning – team reflections and support and learning sharing with team via clinical information forums. </w:t>
            </w:r>
          </w:p>
          <w:p w14:paraId="183DB47E" w14:textId="77777777" w:rsidR="00C607C2" w:rsidRPr="00C607C2" w:rsidRDefault="00C607C2" w:rsidP="00C607C2">
            <w:pPr>
              <w:numPr>
                <w:ilvl w:val="0"/>
                <w:numId w:val="1"/>
              </w:numPr>
              <w:spacing w:after="200" w:line="276" w:lineRule="auto"/>
              <w:contextualSpacing/>
              <w:rPr>
                <w:rFonts w:cs="Arial"/>
                <w:bCs/>
              </w:rPr>
            </w:pPr>
            <w:r w:rsidRPr="00C607C2">
              <w:rPr>
                <w:rFonts w:cs="Arial"/>
                <w:bCs/>
              </w:rPr>
              <w:lastRenderedPageBreak/>
              <w:t xml:space="preserve">Induction package for all team members and includes specific perinatal risk training, safeguarding, working with siblings and families, MBRRACE and PQN perinatal standards. </w:t>
            </w:r>
          </w:p>
          <w:p w14:paraId="12420F35" w14:textId="77777777" w:rsidR="00C607C2" w:rsidRPr="00C607C2" w:rsidRDefault="00C607C2" w:rsidP="00C607C2">
            <w:pPr>
              <w:spacing w:after="200" w:line="276" w:lineRule="auto"/>
              <w:rPr>
                <w:rFonts w:cs="Arial"/>
                <w:bCs/>
              </w:rPr>
            </w:pPr>
          </w:p>
          <w:p w14:paraId="0B4E1808" w14:textId="77777777" w:rsidR="00C607C2" w:rsidRPr="00C607C2" w:rsidRDefault="00C607C2" w:rsidP="00C607C2">
            <w:pPr>
              <w:spacing w:after="200" w:line="276" w:lineRule="auto"/>
              <w:rPr>
                <w:rFonts w:cs="Arial"/>
                <w:b/>
                <w:u w:val="single"/>
              </w:rPr>
            </w:pPr>
            <w:r w:rsidRPr="00C607C2">
              <w:rPr>
                <w:rFonts w:cs="Arial"/>
                <w:b/>
                <w:u w:val="single"/>
              </w:rPr>
              <w:t xml:space="preserve">General </w:t>
            </w:r>
          </w:p>
          <w:p w14:paraId="4DFCB216" w14:textId="77777777" w:rsidR="00C607C2" w:rsidRPr="00C607C2" w:rsidRDefault="00C607C2" w:rsidP="00C607C2">
            <w:pPr>
              <w:numPr>
                <w:ilvl w:val="0"/>
                <w:numId w:val="1"/>
              </w:numPr>
              <w:spacing w:after="200" w:line="276" w:lineRule="auto"/>
              <w:contextualSpacing/>
              <w:rPr>
                <w:rFonts w:cs="Arial"/>
                <w:bCs/>
              </w:rPr>
            </w:pPr>
            <w:r w:rsidRPr="00C607C2">
              <w:rPr>
                <w:rFonts w:cs="Arial"/>
                <w:bCs/>
              </w:rPr>
              <w:t xml:space="preserve">Critical Incident Staff Support Pathway (CrISSP) - this is a service offered by the Trust where trained facilitators support staff who’ve been involved in a potentially traumatic or stressful event at work. </w:t>
            </w:r>
          </w:p>
          <w:p w14:paraId="7248E542" w14:textId="77777777" w:rsidR="00C607C2" w:rsidRPr="00C607C2" w:rsidRDefault="00C607C2" w:rsidP="00C607C2">
            <w:pPr>
              <w:numPr>
                <w:ilvl w:val="0"/>
                <w:numId w:val="1"/>
              </w:numPr>
              <w:spacing w:after="200" w:line="276" w:lineRule="auto"/>
              <w:contextualSpacing/>
              <w:rPr>
                <w:rFonts w:cs="Arial"/>
                <w:bCs/>
              </w:rPr>
            </w:pPr>
            <w:r w:rsidRPr="00C607C2">
              <w:rPr>
                <w:rFonts w:cs="Arial"/>
                <w:bCs/>
              </w:rPr>
              <w:t xml:space="preserve">Patient Safety Incident Response Framework (PSIRF) -ongoing </w:t>
            </w:r>
          </w:p>
          <w:p w14:paraId="71900B10" w14:textId="77777777" w:rsidR="00C607C2" w:rsidRPr="00C607C2" w:rsidRDefault="00C607C2" w:rsidP="00C607C2">
            <w:pPr>
              <w:numPr>
                <w:ilvl w:val="0"/>
                <w:numId w:val="1"/>
              </w:numPr>
              <w:spacing w:after="200" w:line="276" w:lineRule="auto"/>
              <w:contextualSpacing/>
              <w:rPr>
                <w:rFonts w:cs="Arial"/>
                <w:bCs/>
              </w:rPr>
            </w:pPr>
            <w:r w:rsidRPr="00C607C2">
              <w:rPr>
                <w:rFonts w:cs="Arial"/>
                <w:bCs/>
              </w:rPr>
              <w:t xml:space="preserve">Clinical, management and safeguarding supervision procedures. </w:t>
            </w:r>
          </w:p>
          <w:p w14:paraId="3E0548D8" w14:textId="77777777" w:rsidR="00C607C2" w:rsidRPr="00C607C2" w:rsidRDefault="00C607C2" w:rsidP="00C607C2">
            <w:pPr>
              <w:numPr>
                <w:ilvl w:val="0"/>
                <w:numId w:val="1"/>
              </w:numPr>
              <w:spacing w:after="200" w:line="276" w:lineRule="auto"/>
              <w:contextualSpacing/>
              <w:rPr>
                <w:rFonts w:cs="Arial"/>
                <w:bCs/>
              </w:rPr>
            </w:pPr>
            <w:r w:rsidRPr="00C607C2">
              <w:rPr>
                <w:rFonts w:cs="Arial"/>
                <w:bCs/>
              </w:rPr>
              <w:t>Governance framework and reporting processes.</w:t>
            </w:r>
          </w:p>
          <w:p w14:paraId="6BC84CD3" w14:textId="77777777" w:rsidR="00C607C2" w:rsidRPr="00C607C2" w:rsidRDefault="00C607C2" w:rsidP="00C607C2">
            <w:pPr>
              <w:numPr>
                <w:ilvl w:val="0"/>
                <w:numId w:val="1"/>
              </w:numPr>
              <w:spacing w:after="200" w:line="276" w:lineRule="auto"/>
              <w:contextualSpacing/>
              <w:rPr>
                <w:rFonts w:cs="Arial"/>
                <w:bCs/>
              </w:rPr>
            </w:pPr>
            <w:r w:rsidRPr="00C607C2">
              <w:rPr>
                <w:rFonts w:cs="Arial"/>
                <w:bCs/>
              </w:rPr>
              <w:t>PALS and Complaints Procedure</w:t>
            </w:r>
          </w:p>
          <w:p w14:paraId="7E3829FE" w14:textId="77777777" w:rsidR="00C607C2" w:rsidRPr="00C607C2" w:rsidRDefault="00C607C2" w:rsidP="00C607C2">
            <w:pPr>
              <w:numPr>
                <w:ilvl w:val="0"/>
                <w:numId w:val="1"/>
              </w:numPr>
              <w:spacing w:after="200" w:line="276" w:lineRule="auto"/>
              <w:contextualSpacing/>
              <w:rPr>
                <w:rFonts w:cs="Arial"/>
                <w:bCs/>
              </w:rPr>
            </w:pPr>
            <w:r w:rsidRPr="00C607C2">
              <w:rPr>
                <w:rFonts w:cs="Arial"/>
                <w:bCs/>
              </w:rPr>
              <w:t xml:space="preserve">Duty of Candour  </w:t>
            </w:r>
          </w:p>
        </w:tc>
        <w:tc>
          <w:tcPr>
            <w:tcW w:w="850" w:type="dxa"/>
          </w:tcPr>
          <w:p w14:paraId="4BAFF27A" w14:textId="77777777" w:rsidR="00C607C2" w:rsidRPr="00C607C2" w:rsidRDefault="00C607C2" w:rsidP="00C607C2">
            <w:pPr>
              <w:jc w:val="center"/>
              <w:rPr>
                <w:b/>
                <w:bCs/>
              </w:rPr>
            </w:pPr>
            <w:r w:rsidRPr="00C607C2">
              <w:rPr>
                <w:b/>
                <w:bCs/>
              </w:rPr>
              <w:lastRenderedPageBreak/>
              <w:t>Achieving 2</w:t>
            </w:r>
          </w:p>
        </w:tc>
        <w:tc>
          <w:tcPr>
            <w:tcW w:w="1985" w:type="dxa"/>
          </w:tcPr>
          <w:p w14:paraId="37F6203E" w14:textId="77777777" w:rsidR="00C607C2" w:rsidRPr="00C607C2" w:rsidRDefault="00C607C2" w:rsidP="00C607C2">
            <w:pPr>
              <w:jc w:val="center"/>
              <w:rPr>
                <w:b/>
                <w:bCs/>
              </w:rPr>
            </w:pPr>
            <w:r w:rsidRPr="00C607C2">
              <w:rPr>
                <w:b/>
                <w:bCs/>
              </w:rPr>
              <w:t xml:space="preserve">Perinatal Service </w:t>
            </w:r>
          </w:p>
        </w:tc>
      </w:tr>
      <w:tr w:rsidR="00C607C2" w:rsidRPr="00C607C2" w14:paraId="1E6D66BC" w14:textId="77777777" w:rsidTr="00C32595">
        <w:trPr>
          <w:cantSplit/>
          <w:trHeight w:val="1134"/>
        </w:trPr>
        <w:tc>
          <w:tcPr>
            <w:tcW w:w="1094" w:type="dxa"/>
            <w:vMerge/>
            <w:shd w:val="clear" w:color="auto" w:fill="BDDEFF"/>
          </w:tcPr>
          <w:p w14:paraId="3E4C38C3" w14:textId="77777777" w:rsidR="00C607C2" w:rsidRPr="00C607C2" w:rsidRDefault="00C607C2" w:rsidP="00C607C2">
            <w:pPr>
              <w:rPr>
                <w:rFonts w:cs="Arial"/>
              </w:rPr>
            </w:pPr>
          </w:p>
        </w:tc>
        <w:tc>
          <w:tcPr>
            <w:tcW w:w="3263" w:type="dxa"/>
            <w:shd w:val="clear" w:color="auto" w:fill="BDDEFF"/>
            <w:vAlign w:val="center"/>
          </w:tcPr>
          <w:p w14:paraId="0D2A76D2" w14:textId="77777777" w:rsidR="00C607C2" w:rsidRPr="00C607C2" w:rsidRDefault="00C607C2" w:rsidP="00C607C2">
            <w:pPr>
              <w:rPr>
                <w:rFonts w:cs="Arial"/>
              </w:rPr>
            </w:pPr>
            <w:r w:rsidRPr="00C607C2">
              <w:rPr>
                <w:rFonts w:cs="Arial"/>
              </w:rPr>
              <w:t xml:space="preserve">1D: </w:t>
            </w:r>
            <w:r w:rsidRPr="00C607C2">
              <w:rPr>
                <w:rFonts w:cs="Arial"/>
                <w:bCs/>
              </w:rPr>
              <w:t xml:space="preserve">Patients (service users) </w:t>
            </w:r>
            <w:r w:rsidRPr="00C607C2">
              <w:rPr>
                <w:rFonts w:cs="Arial"/>
              </w:rPr>
              <w:t>report positive experiences of the service</w:t>
            </w:r>
          </w:p>
        </w:tc>
        <w:tc>
          <w:tcPr>
            <w:tcW w:w="6695" w:type="dxa"/>
          </w:tcPr>
          <w:p w14:paraId="311D11EF" w14:textId="77777777" w:rsidR="00C607C2" w:rsidRPr="00C607C2" w:rsidRDefault="00C607C2" w:rsidP="00C607C2">
            <w:pPr>
              <w:numPr>
                <w:ilvl w:val="0"/>
                <w:numId w:val="1"/>
              </w:numPr>
              <w:rPr>
                <w:b/>
                <w:bCs/>
                <w:u w:val="single"/>
              </w:rPr>
            </w:pPr>
            <w:r w:rsidRPr="00C607C2">
              <w:t xml:space="preserve">Patient centred care focuses on providing care that is responsive to individual preferences, needs and values. </w:t>
            </w:r>
          </w:p>
          <w:p w14:paraId="4345C7C7" w14:textId="77777777" w:rsidR="00C607C2" w:rsidRPr="00C607C2" w:rsidRDefault="00C607C2" w:rsidP="00C607C2">
            <w:pPr>
              <w:numPr>
                <w:ilvl w:val="0"/>
                <w:numId w:val="1"/>
              </w:numPr>
            </w:pPr>
            <w:r w:rsidRPr="00C607C2">
              <w:t xml:space="preserve">Service evaluation report DUAT – service users’ feedback is positive. </w:t>
            </w:r>
          </w:p>
          <w:p w14:paraId="670E01D8" w14:textId="77777777" w:rsidR="00C607C2" w:rsidRPr="00C607C2" w:rsidRDefault="00C607C2" w:rsidP="00C607C2">
            <w:pPr>
              <w:numPr>
                <w:ilvl w:val="0"/>
                <w:numId w:val="1"/>
              </w:numPr>
            </w:pPr>
            <w:r w:rsidRPr="00C607C2">
              <w:t xml:space="preserve">Creative writing feedback </w:t>
            </w:r>
          </w:p>
          <w:p w14:paraId="1F69B288" w14:textId="77777777" w:rsidR="00C607C2" w:rsidRPr="00C607C2" w:rsidRDefault="00C607C2" w:rsidP="00C607C2">
            <w:pPr>
              <w:numPr>
                <w:ilvl w:val="0"/>
                <w:numId w:val="1"/>
              </w:numPr>
            </w:pPr>
            <w:r w:rsidRPr="00C607C2">
              <w:t xml:space="preserve">Compassion Focused Therapy Group feedback </w:t>
            </w:r>
          </w:p>
          <w:p w14:paraId="34F2D6EF" w14:textId="77777777" w:rsidR="00C607C2" w:rsidRPr="00C607C2" w:rsidRDefault="00C607C2" w:rsidP="00C607C2">
            <w:pPr>
              <w:numPr>
                <w:ilvl w:val="0"/>
                <w:numId w:val="1"/>
              </w:numPr>
            </w:pPr>
            <w:r w:rsidRPr="00C607C2">
              <w:t xml:space="preserve">Friends and family test data. </w:t>
            </w:r>
          </w:p>
          <w:p w14:paraId="632C6C42" w14:textId="77777777" w:rsidR="00C607C2" w:rsidRPr="00C607C2" w:rsidRDefault="00C607C2" w:rsidP="00C607C2">
            <w:pPr>
              <w:numPr>
                <w:ilvl w:val="0"/>
                <w:numId w:val="1"/>
              </w:numPr>
            </w:pPr>
            <w:r w:rsidRPr="00C607C2">
              <w:t xml:space="preserve">Diverse Mums group feedback from black, </w:t>
            </w:r>
            <w:proofErr w:type="spellStart"/>
            <w:r w:rsidRPr="00C607C2">
              <w:t>asian</w:t>
            </w:r>
            <w:proofErr w:type="spellEnd"/>
            <w:r w:rsidRPr="00C607C2">
              <w:t xml:space="preserve"> and minority service users to identify gaps in service and to inform service improvement and design.  </w:t>
            </w:r>
          </w:p>
          <w:p w14:paraId="3A420D39" w14:textId="77777777" w:rsidR="00C607C2" w:rsidRPr="00C607C2" w:rsidRDefault="00C607C2" w:rsidP="00C607C2">
            <w:pPr>
              <w:numPr>
                <w:ilvl w:val="0"/>
                <w:numId w:val="1"/>
              </w:numPr>
            </w:pPr>
            <w:r w:rsidRPr="00C607C2">
              <w:lastRenderedPageBreak/>
              <w:t xml:space="preserve">National Service user award in category of Braking Barriers. </w:t>
            </w:r>
          </w:p>
          <w:p w14:paraId="1302171B" w14:textId="77777777" w:rsidR="00C607C2" w:rsidRPr="00C607C2" w:rsidRDefault="00C607C2" w:rsidP="00C607C2">
            <w:pPr>
              <w:numPr>
                <w:ilvl w:val="0"/>
                <w:numId w:val="1"/>
              </w:numPr>
            </w:pPr>
            <w:r w:rsidRPr="00C607C2">
              <w:t xml:space="preserve">Number of Incidents and Level of severity of harm are low. </w:t>
            </w:r>
          </w:p>
          <w:p w14:paraId="523D20A7" w14:textId="77777777" w:rsidR="00C607C2" w:rsidRPr="00C607C2" w:rsidRDefault="00C607C2" w:rsidP="00C607C2">
            <w:pPr>
              <w:numPr>
                <w:ilvl w:val="0"/>
                <w:numId w:val="1"/>
              </w:numPr>
            </w:pPr>
            <w:r w:rsidRPr="00C607C2">
              <w:t xml:space="preserve">Representation and membership at Maternity Partnership Voice forums re: Insight and Improvement board meetings </w:t>
            </w:r>
          </w:p>
          <w:p w14:paraId="0E1A8934" w14:textId="77777777" w:rsidR="00C607C2" w:rsidRPr="00C607C2" w:rsidRDefault="00C607C2" w:rsidP="00C607C2"/>
          <w:p w14:paraId="2B0E3DE6" w14:textId="77777777" w:rsidR="00C607C2" w:rsidRPr="00C607C2" w:rsidRDefault="00C607C2" w:rsidP="00C607C2">
            <w:pPr>
              <w:rPr>
                <w:b/>
                <w:bCs/>
              </w:rPr>
            </w:pPr>
            <w:r w:rsidRPr="00C607C2">
              <w:rPr>
                <w:b/>
                <w:bCs/>
              </w:rPr>
              <w:t xml:space="preserve">General </w:t>
            </w:r>
          </w:p>
          <w:p w14:paraId="5C696842" w14:textId="77777777" w:rsidR="00C607C2" w:rsidRPr="00C607C2" w:rsidRDefault="00C607C2" w:rsidP="00C607C2">
            <w:pPr>
              <w:numPr>
                <w:ilvl w:val="0"/>
                <w:numId w:val="1"/>
              </w:numPr>
            </w:pPr>
            <w:r w:rsidRPr="00C607C2">
              <w:t>Local survey</w:t>
            </w:r>
          </w:p>
          <w:p w14:paraId="52D1A5A9" w14:textId="77777777" w:rsidR="00C607C2" w:rsidRPr="00C607C2" w:rsidRDefault="00C607C2" w:rsidP="00C607C2">
            <w:pPr>
              <w:numPr>
                <w:ilvl w:val="0"/>
                <w:numId w:val="1"/>
              </w:numPr>
            </w:pPr>
            <w:r w:rsidRPr="00C607C2">
              <w:t>Healthwatch report</w:t>
            </w:r>
          </w:p>
          <w:p w14:paraId="4FCD1DA2" w14:textId="77777777" w:rsidR="00C607C2" w:rsidRPr="00C607C2" w:rsidRDefault="00C607C2" w:rsidP="00C607C2">
            <w:pPr>
              <w:numPr>
                <w:ilvl w:val="0"/>
                <w:numId w:val="1"/>
              </w:numPr>
            </w:pPr>
            <w:r w:rsidRPr="00C607C2">
              <w:t xml:space="preserve">Maternity insight report </w:t>
            </w:r>
          </w:p>
          <w:p w14:paraId="0AF6B682" w14:textId="77777777" w:rsidR="00C607C2" w:rsidRPr="00C607C2" w:rsidRDefault="00C607C2" w:rsidP="00C607C2">
            <w:pPr>
              <w:numPr>
                <w:ilvl w:val="0"/>
                <w:numId w:val="1"/>
              </w:numPr>
            </w:pPr>
            <w:r w:rsidRPr="00C607C2">
              <w:t xml:space="preserve">DATIX data - </w:t>
            </w:r>
          </w:p>
        </w:tc>
        <w:tc>
          <w:tcPr>
            <w:tcW w:w="850" w:type="dxa"/>
          </w:tcPr>
          <w:p w14:paraId="35C446DC" w14:textId="77777777" w:rsidR="00C607C2" w:rsidRPr="00C607C2" w:rsidRDefault="00C607C2" w:rsidP="00C607C2">
            <w:pPr>
              <w:jc w:val="center"/>
              <w:rPr>
                <w:b/>
                <w:bCs/>
              </w:rPr>
            </w:pPr>
            <w:r w:rsidRPr="00C607C2">
              <w:rPr>
                <w:b/>
                <w:bCs/>
              </w:rPr>
              <w:lastRenderedPageBreak/>
              <w:t>Achieving 2</w:t>
            </w:r>
          </w:p>
        </w:tc>
        <w:tc>
          <w:tcPr>
            <w:tcW w:w="1985" w:type="dxa"/>
          </w:tcPr>
          <w:p w14:paraId="45DF3126" w14:textId="77777777" w:rsidR="00C607C2" w:rsidRPr="00C607C2" w:rsidRDefault="00C607C2" w:rsidP="00C607C2">
            <w:pPr>
              <w:jc w:val="center"/>
              <w:rPr>
                <w:b/>
                <w:bCs/>
              </w:rPr>
            </w:pPr>
            <w:r w:rsidRPr="00C607C2">
              <w:rPr>
                <w:b/>
                <w:bCs/>
              </w:rPr>
              <w:t xml:space="preserve">Perinatal Service </w:t>
            </w:r>
          </w:p>
        </w:tc>
      </w:tr>
      <w:tr w:rsidR="00C607C2" w:rsidRPr="00C607C2" w14:paraId="338239C7" w14:textId="77777777" w:rsidTr="00C32595">
        <w:tc>
          <w:tcPr>
            <w:tcW w:w="11052" w:type="dxa"/>
            <w:gridSpan w:val="3"/>
            <w:shd w:val="clear" w:color="auto" w:fill="BDDEFF"/>
          </w:tcPr>
          <w:p w14:paraId="660AEB4C" w14:textId="77777777" w:rsidR="00C607C2" w:rsidRPr="00893889" w:rsidRDefault="00C607C2" w:rsidP="00C607C2">
            <w:pPr>
              <w:rPr>
                <w:rFonts w:cs="Arial"/>
                <w:b/>
                <w:sz w:val="28"/>
                <w:szCs w:val="28"/>
              </w:rPr>
            </w:pPr>
            <w:r w:rsidRPr="00893889">
              <w:rPr>
                <w:rFonts w:cs="Arial"/>
                <w:b/>
                <w:sz w:val="28"/>
                <w:szCs w:val="28"/>
              </w:rPr>
              <w:t>Domain 1: Commissioned or provided services overall rating</w:t>
            </w:r>
          </w:p>
        </w:tc>
        <w:tc>
          <w:tcPr>
            <w:tcW w:w="850" w:type="dxa"/>
          </w:tcPr>
          <w:p w14:paraId="4BF1BADE" w14:textId="77777777" w:rsidR="00C607C2" w:rsidRPr="00893889" w:rsidRDefault="00C607C2" w:rsidP="00C607C2">
            <w:pPr>
              <w:jc w:val="center"/>
              <w:rPr>
                <w:b/>
                <w:bCs/>
                <w:sz w:val="28"/>
                <w:szCs w:val="28"/>
              </w:rPr>
            </w:pPr>
            <w:r w:rsidRPr="00893889">
              <w:rPr>
                <w:b/>
                <w:bCs/>
                <w:sz w:val="28"/>
                <w:szCs w:val="28"/>
              </w:rPr>
              <w:t>8</w:t>
            </w:r>
          </w:p>
        </w:tc>
        <w:tc>
          <w:tcPr>
            <w:tcW w:w="1985" w:type="dxa"/>
          </w:tcPr>
          <w:p w14:paraId="139AC4F2" w14:textId="77777777" w:rsidR="00C607C2" w:rsidRPr="00C607C2" w:rsidRDefault="00C607C2" w:rsidP="00C607C2">
            <w:pPr>
              <w:jc w:val="center"/>
              <w:rPr>
                <w:b/>
                <w:bCs/>
              </w:rPr>
            </w:pPr>
          </w:p>
        </w:tc>
      </w:tr>
    </w:tbl>
    <w:p w14:paraId="04307E31" w14:textId="77777777" w:rsidR="00C607C2" w:rsidRDefault="00C607C2" w:rsidP="00C607C2">
      <w:pPr>
        <w:spacing w:after="0" w:line="240" w:lineRule="auto"/>
        <w:rPr>
          <w:rFonts w:ascii="Arial" w:eastAsia="Calibri" w:hAnsi="Arial" w:cs="Arial"/>
          <w:b/>
          <w:bCs/>
          <w:color w:val="231F20"/>
          <w:kern w:val="0"/>
          <w:sz w:val="24"/>
          <w:szCs w:val="24"/>
          <w14:ligatures w14:val="none"/>
        </w:rPr>
      </w:pPr>
    </w:p>
    <w:p w14:paraId="35950881" w14:textId="77777777" w:rsidR="00761485" w:rsidRDefault="00761485" w:rsidP="00C607C2">
      <w:pPr>
        <w:spacing w:after="0" w:line="240" w:lineRule="auto"/>
        <w:rPr>
          <w:rFonts w:ascii="Arial" w:eastAsia="Calibri" w:hAnsi="Arial" w:cs="Arial"/>
          <w:b/>
          <w:bCs/>
          <w:color w:val="231F20"/>
          <w:kern w:val="0"/>
          <w:sz w:val="24"/>
          <w:szCs w:val="24"/>
          <w14:ligatures w14:val="none"/>
        </w:rPr>
      </w:pPr>
    </w:p>
    <w:p w14:paraId="40E397D0" w14:textId="77777777" w:rsidR="00A07A83" w:rsidRDefault="00A07A83" w:rsidP="00C607C2">
      <w:pPr>
        <w:spacing w:after="0" w:line="240" w:lineRule="auto"/>
        <w:rPr>
          <w:rFonts w:ascii="Arial" w:eastAsia="Calibri" w:hAnsi="Arial" w:cs="Arial"/>
          <w:b/>
          <w:bCs/>
          <w:color w:val="231F20"/>
          <w:kern w:val="0"/>
          <w:sz w:val="24"/>
          <w:szCs w:val="24"/>
          <w14:ligatures w14:val="none"/>
        </w:rPr>
      </w:pPr>
    </w:p>
    <w:p w14:paraId="2227A212" w14:textId="77777777" w:rsidR="00A07A83" w:rsidRDefault="00A07A83" w:rsidP="00C607C2">
      <w:pPr>
        <w:spacing w:after="0" w:line="240" w:lineRule="auto"/>
        <w:rPr>
          <w:rFonts w:ascii="Arial" w:eastAsia="Calibri" w:hAnsi="Arial" w:cs="Arial"/>
          <w:b/>
          <w:bCs/>
          <w:color w:val="231F20"/>
          <w:kern w:val="0"/>
          <w:sz w:val="24"/>
          <w:szCs w:val="24"/>
          <w14:ligatures w14:val="none"/>
        </w:rPr>
      </w:pPr>
    </w:p>
    <w:p w14:paraId="2CB511C7" w14:textId="77777777" w:rsidR="00A07A83" w:rsidRDefault="00A07A83" w:rsidP="00C607C2">
      <w:pPr>
        <w:spacing w:after="0" w:line="240" w:lineRule="auto"/>
        <w:rPr>
          <w:rFonts w:ascii="Arial" w:eastAsia="Calibri" w:hAnsi="Arial" w:cs="Arial"/>
          <w:b/>
          <w:bCs/>
          <w:color w:val="231F20"/>
          <w:kern w:val="0"/>
          <w:sz w:val="24"/>
          <w:szCs w:val="24"/>
          <w14:ligatures w14:val="none"/>
        </w:rPr>
      </w:pPr>
    </w:p>
    <w:p w14:paraId="4570036C" w14:textId="77777777" w:rsidR="00A07A83" w:rsidRDefault="00A07A83" w:rsidP="00C607C2">
      <w:pPr>
        <w:spacing w:after="0" w:line="240" w:lineRule="auto"/>
        <w:rPr>
          <w:rFonts w:ascii="Arial" w:eastAsia="Calibri" w:hAnsi="Arial" w:cs="Arial"/>
          <w:b/>
          <w:bCs/>
          <w:color w:val="231F20"/>
          <w:kern w:val="0"/>
          <w:sz w:val="24"/>
          <w:szCs w:val="24"/>
          <w14:ligatures w14:val="none"/>
        </w:rPr>
      </w:pPr>
    </w:p>
    <w:p w14:paraId="360A625F" w14:textId="77777777" w:rsidR="00A07A83" w:rsidRDefault="00A07A83" w:rsidP="00C607C2">
      <w:pPr>
        <w:spacing w:after="0" w:line="240" w:lineRule="auto"/>
        <w:rPr>
          <w:rFonts w:ascii="Arial" w:eastAsia="Calibri" w:hAnsi="Arial" w:cs="Arial"/>
          <w:b/>
          <w:bCs/>
          <w:color w:val="231F20"/>
          <w:kern w:val="0"/>
          <w:sz w:val="24"/>
          <w:szCs w:val="24"/>
          <w14:ligatures w14:val="none"/>
        </w:rPr>
      </w:pPr>
    </w:p>
    <w:p w14:paraId="2E51CE68" w14:textId="77777777" w:rsidR="00A07A83" w:rsidRDefault="00A07A83" w:rsidP="00C607C2">
      <w:pPr>
        <w:spacing w:after="0" w:line="240" w:lineRule="auto"/>
        <w:rPr>
          <w:rFonts w:ascii="Arial" w:eastAsia="Calibri" w:hAnsi="Arial" w:cs="Arial"/>
          <w:b/>
          <w:bCs/>
          <w:color w:val="231F20"/>
          <w:kern w:val="0"/>
          <w:sz w:val="24"/>
          <w:szCs w:val="24"/>
          <w14:ligatures w14:val="none"/>
        </w:rPr>
      </w:pPr>
    </w:p>
    <w:p w14:paraId="1E4A2438" w14:textId="77777777" w:rsidR="00A07A83" w:rsidRDefault="00A07A83" w:rsidP="00C607C2">
      <w:pPr>
        <w:spacing w:after="0" w:line="240" w:lineRule="auto"/>
        <w:rPr>
          <w:rFonts w:ascii="Arial" w:eastAsia="Calibri" w:hAnsi="Arial" w:cs="Arial"/>
          <w:b/>
          <w:bCs/>
          <w:color w:val="231F20"/>
          <w:kern w:val="0"/>
          <w:sz w:val="24"/>
          <w:szCs w:val="24"/>
          <w14:ligatures w14:val="none"/>
        </w:rPr>
      </w:pPr>
    </w:p>
    <w:p w14:paraId="7420E7EC" w14:textId="77777777" w:rsidR="00A07A83" w:rsidRDefault="00A07A83" w:rsidP="00C607C2">
      <w:pPr>
        <w:spacing w:after="0" w:line="240" w:lineRule="auto"/>
        <w:rPr>
          <w:rFonts w:ascii="Arial" w:eastAsia="Calibri" w:hAnsi="Arial" w:cs="Arial"/>
          <w:b/>
          <w:bCs/>
          <w:color w:val="231F20"/>
          <w:kern w:val="0"/>
          <w:sz w:val="24"/>
          <w:szCs w:val="24"/>
          <w14:ligatures w14:val="none"/>
        </w:rPr>
      </w:pPr>
    </w:p>
    <w:p w14:paraId="7BAEA865" w14:textId="77777777" w:rsidR="00A07A83" w:rsidRDefault="00A07A83" w:rsidP="00C607C2">
      <w:pPr>
        <w:spacing w:after="0" w:line="240" w:lineRule="auto"/>
        <w:rPr>
          <w:rFonts w:ascii="Arial" w:eastAsia="Calibri" w:hAnsi="Arial" w:cs="Arial"/>
          <w:b/>
          <w:bCs/>
          <w:color w:val="231F20"/>
          <w:kern w:val="0"/>
          <w:sz w:val="24"/>
          <w:szCs w:val="24"/>
          <w14:ligatures w14:val="none"/>
        </w:rPr>
      </w:pPr>
    </w:p>
    <w:p w14:paraId="08133F91" w14:textId="77777777" w:rsidR="00A07A83" w:rsidRDefault="00A07A83" w:rsidP="00C607C2">
      <w:pPr>
        <w:spacing w:after="0" w:line="240" w:lineRule="auto"/>
        <w:rPr>
          <w:rFonts w:ascii="Arial" w:eastAsia="Calibri" w:hAnsi="Arial" w:cs="Arial"/>
          <w:b/>
          <w:bCs/>
          <w:color w:val="231F20"/>
          <w:kern w:val="0"/>
          <w:sz w:val="24"/>
          <w:szCs w:val="24"/>
          <w14:ligatures w14:val="none"/>
        </w:rPr>
      </w:pPr>
    </w:p>
    <w:p w14:paraId="4CA3740E" w14:textId="77777777" w:rsidR="00761485" w:rsidRDefault="00761485" w:rsidP="00C607C2">
      <w:pPr>
        <w:spacing w:after="0" w:line="240" w:lineRule="auto"/>
        <w:rPr>
          <w:rFonts w:ascii="Arial" w:eastAsia="Calibri" w:hAnsi="Arial" w:cs="Arial"/>
          <w:b/>
          <w:bCs/>
          <w:color w:val="231F20"/>
          <w:kern w:val="0"/>
          <w:sz w:val="24"/>
          <w:szCs w:val="24"/>
          <w14:ligatures w14:val="none"/>
        </w:rPr>
      </w:pPr>
    </w:p>
    <w:p w14:paraId="2354DA8A" w14:textId="7312426B" w:rsidR="007A6FF3" w:rsidRPr="00224C7D" w:rsidRDefault="007A6FF3" w:rsidP="007A6FF3">
      <w:pPr>
        <w:keepNext/>
        <w:keepLines/>
        <w:spacing w:before="60" w:after="280" w:line="240" w:lineRule="auto"/>
        <w:outlineLvl w:val="1"/>
        <w:rPr>
          <w:rFonts w:ascii="Arial" w:eastAsia="Times New Roman" w:hAnsi="Arial" w:cs="Times New Roman"/>
          <w:color w:val="005EB8"/>
          <w:kern w:val="0"/>
          <w:sz w:val="28"/>
          <w:szCs w:val="28"/>
          <w14:ligatures w14:val="none"/>
        </w:rPr>
      </w:pPr>
      <w:r w:rsidRPr="00224C7D">
        <w:rPr>
          <w:rFonts w:ascii="Arial" w:eastAsia="Times New Roman" w:hAnsi="Arial" w:cs="Times New Roman"/>
          <w:color w:val="005EB8"/>
          <w:kern w:val="0"/>
          <w:sz w:val="28"/>
          <w:szCs w:val="28"/>
          <w14:ligatures w14:val="none"/>
        </w:rPr>
        <w:lastRenderedPageBreak/>
        <w:t>Domain 2: Workforce health and well-being</w:t>
      </w:r>
    </w:p>
    <w:tbl>
      <w:tblPr>
        <w:tblStyle w:val="TableGrid3"/>
        <w:tblW w:w="0" w:type="auto"/>
        <w:tblBorders>
          <w:top w:val="single" w:sz="4" w:space="0" w:color="768692"/>
          <w:left w:val="single" w:sz="4" w:space="0" w:color="768692"/>
          <w:bottom w:val="single" w:sz="4" w:space="0" w:color="768692"/>
          <w:right w:val="single" w:sz="4" w:space="0" w:color="768692"/>
          <w:insideH w:val="single" w:sz="4" w:space="0" w:color="768692"/>
          <w:insideV w:val="single" w:sz="4" w:space="0" w:color="768692"/>
        </w:tblBorders>
        <w:tblCellMar>
          <w:top w:w="62" w:type="dxa"/>
          <w:left w:w="62" w:type="dxa"/>
          <w:bottom w:w="62" w:type="dxa"/>
          <w:right w:w="62" w:type="dxa"/>
        </w:tblCellMar>
        <w:tblLook w:val="04A0" w:firstRow="1" w:lastRow="0" w:firstColumn="1" w:lastColumn="0" w:noHBand="0" w:noVBand="1"/>
      </w:tblPr>
      <w:tblGrid>
        <w:gridCol w:w="1118"/>
        <w:gridCol w:w="3130"/>
        <w:gridCol w:w="6520"/>
        <w:gridCol w:w="1271"/>
        <w:gridCol w:w="1835"/>
      </w:tblGrid>
      <w:tr w:rsidR="007A6FF3" w:rsidRPr="007A6FF3" w14:paraId="279E7ED6" w14:textId="77777777" w:rsidTr="00761485">
        <w:tc>
          <w:tcPr>
            <w:tcW w:w="1118" w:type="dxa"/>
            <w:shd w:val="clear" w:color="auto" w:fill="BDDEFF"/>
          </w:tcPr>
          <w:p w14:paraId="0950999B" w14:textId="77777777" w:rsidR="007A6FF3" w:rsidRPr="007A6FF3" w:rsidRDefault="007A6FF3" w:rsidP="007A6FF3">
            <w:pPr>
              <w:rPr>
                <w:rFonts w:cs="Arial"/>
                <w:b/>
              </w:rPr>
            </w:pPr>
            <w:bookmarkStart w:id="1" w:name="_Hlk160014707"/>
            <w:r w:rsidRPr="007A6FF3">
              <w:rPr>
                <w:rFonts w:cs="Arial"/>
                <w:b/>
              </w:rPr>
              <w:t>Domain</w:t>
            </w:r>
          </w:p>
        </w:tc>
        <w:tc>
          <w:tcPr>
            <w:tcW w:w="3130" w:type="dxa"/>
            <w:shd w:val="clear" w:color="auto" w:fill="BDDEFF"/>
          </w:tcPr>
          <w:p w14:paraId="74218EFF" w14:textId="77777777" w:rsidR="007A6FF3" w:rsidRPr="007A6FF3" w:rsidRDefault="007A6FF3" w:rsidP="007A6FF3">
            <w:pPr>
              <w:rPr>
                <w:rFonts w:cs="Arial"/>
                <w:b/>
              </w:rPr>
            </w:pPr>
            <w:r w:rsidRPr="007A6FF3">
              <w:rPr>
                <w:rFonts w:cs="Arial"/>
                <w:b/>
              </w:rPr>
              <w:t>Outcome</w:t>
            </w:r>
          </w:p>
        </w:tc>
        <w:tc>
          <w:tcPr>
            <w:tcW w:w="6520" w:type="dxa"/>
            <w:shd w:val="clear" w:color="auto" w:fill="BDDEFF"/>
          </w:tcPr>
          <w:p w14:paraId="4677B59C" w14:textId="77777777" w:rsidR="007A6FF3" w:rsidRPr="007A6FF3" w:rsidRDefault="007A6FF3" w:rsidP="007A6FF3">
            <w:pPr>
              <w:rPr>
                <w:rFonts w:cs="Arial"/>
                <w:b/>
              </w:rPr>
            </w:pPr>
            <w:r w:rsidRPr="007A6FF3">
              <w:rPr>
                <w:rFonts w:cs="Arial"/>
                <w:b/>
              </w:rPr>
              <w:t xml:space="preserve">Evidence </w:t>
            </w:r>
          </w:p>
        </w:tc>
        <w:tc>
          <w:tcPr>
            <w:tcW w:w="993" w:type="dxa"/>
            <w:shd w:val="clear" w:color="auto" w:fill="BDDEFF"/>
          </w:tcPr>
          <w:p w14:paraId="797F0DF1" w14:textId="77777777" w:rsidR="007A6FF3" w:rsidRPr="007A6FF3" w:rsidRDefault="007A6FF3" w:rsidP="007A6FF3">
            <w:pPr>
              <w:rPr>
                <w:rFonts w:cs="Arial"/>
                <w:b/>
              </w:rPr>
            </w:pPr>
            <w:r w:rsidRPr="007A6FF3">
              <w:rPr>
                <w:rFonts w:cs="Arial"/>
                <w:b/>
              </w:rPr>
              <w:t>Rating</w:t>
            </w:r>
          </w:p>
        </w:tc>
        <w:tc>
          <w:tcPr>
            <w:tcW w:w="1835" w:type="dxa"/>
            <w:shd w:val="clear" w:color="auto" w:fill="BDDEFF"/>
          </w:tcPr>
          <w:p w14:paraId="00265181" w14:textId="77777777" w:rsidR="007A6FF3" w:rsidRDefault="007A6FF3" w:rsidP="007A6FF3">
            <w:pPr>
              <w:rPr>
                <w:rFonts w:cs="Arial"/>
                <w:b/>
              </w:rPr>
            </w:pPr>
            <w:r w:rsidRPr="007A6FF3">
              <w:rPr>
                <w:rFonts w:cs="Arial"/>
                <w:b/>
              </w:rPr>
              <w:t>Owner (Dept/Lead)</w:t>
            </w:r>
          </w:p>
          <w:p w14:paraId="0FA3E734" w14:textId="77777777" w:rsidR="00224C7D" w:rsidRDefault="00224C7D" w:rsidP="007A6FF3">
            <w:pPr>
              <w:rPr>
                <w:rFonts w:cs="Arial"/>
                <w:b/>
              </w:rPr>
            </w:pPr>
          </w:p>
          <w:p w14:paraId="1DA47686" w14:textId="77777777" w:rsidR="00224C7D" w:rsidRDefault="00224C7D" w:rsidP="007A6FF3">
            <w:pPr>
              <w:rPr>
                <w:rFonts w:cs="Arial"/>
                <w:b/>
              </w:rPr>
            </w:pPr>
          </w:p>
          <w:p w14:paraId="0F2C3B3B" w14:textId="77777777" w:rsidR="00224C7D" w:rsidRDefault="00224C7D" w:rsidP="007A6FF3">
            <w:pPr>
              <w:rPr>
                <w:rFonts w:cs="Arial"/>
                <w:b/>
              </w:rPr>
            </w:pPr>
          </w:p>
          <w:p w14:paraId="1A46C273" w14:textId="77777777" w:rsidR="00224C7D" w:rsidRPr="007A6FF3" w:rsidRDefault="00224C7D" w:rsidP="007A6FF3">
            <w:pPr>
              <w:rPr>
                <w:rFonts w:cs="Arial"/>
                <w:b/>
              </w:rPr>
            </w:pPr>
          </w:p>
        </w:tc>
      </w:tr>
      <w:tr w:rsidR="007A6FF3" w:rsidRPr="007A6FF3" w14:paraId="6EBB85BB" w14:textId="77777777" w:rsidTr="00761485">
        <w:trPr>
          <w:cantSplit/>
          <w:trHeight w:val="1247"/>
        </w:trPr>
        <w:tc>
          <w:tcPr>
            <w:tcW w:w="1118" w:type="dxa"/>
            <w:vMerge w:val="restart"/>
            <w:shd w:val="clear" w:color="auto" w:fill="BDDEFF"/>
            <w:textDirection w:val="btLr"/>
            <w:vAlign w:val="center"/>
          </w:tcPr>
          <w:p w14:paraId="06748F0B" w14:textId="77777777" w:rsidR="007A6FF3" w:rsidRPr="007A6FF3" w:rsidRDefault="007A6FF3" w:rsidP="007A6FF3">
            <w:pPr>
              <w:ind w:left="113" w:right="113"/>
              <w:jc w:val="center"/>
              <w:rPr>
                <w:rFonts w:cs="Arial"/>
                <w:b/>
                <w:i/>
              </w:rPr>
            </w:pPr>
            <w:r w:rsidRPr="007A6FF3">
              <w:rPr>
                <w:rFonts w:cs="Arial"/>
                <w:b/>
                <w:i/>
              </w:rPr>
              <w:lastRenderedPageBreak/>
              <w:t xml:space="preserve">Domain 2: </w:t>
            </w:r>
          </w:p>
          <w:p w14:paraId="40A04E6C" w14:textId="77777777" w:rsidR="007A6FF3" w:rsidRPr="007A6FF3" w:rsidRDefault="007A6FF3" w:rsidP="007A6FF3">
            <w:pPr>
              <w:ind w:left="113" w:right="113"/>
              <w:jc w:val="center"/>
              <w:rPr>
                <w:rFonts w:cs="Arial"/>
                <w:b/>
                <w:i/>
              </w:rPr>
            </w:pPr>
            <w:r w:rsidRPr="007A6FF3">
              <w:rPr>
                <w:rFonts w:cs="Arial"/>
                <w:b/>
                <w:i/>
              </w:rPr>
              <w:t>Workforce health and well-being</w:t>
            </w:r>
          </w:p>
          <w:p w14:paraId="60ED4C44" w14:textId="77777777" w:rsidR="007A6FF3" w:rsidRPr="007A6FF3" w:rsidRDefault="007A6FF3" w:rsidP="007A6FF3">
            <w:pPr>
              <w:ind w:left="113" w:right="113"/>
              <w:jc w:val="center"/>
              <w:rPr>
                <w:rFonts w:cs="Arial"/>
              </w:rPr>
            </w:pPr>
          </w:p>
        </w:tc>
        <w:tc>
          <w:tcPr>
            <w:tcW w:w="3130" w:type="dxa"/>
            <w:shd w:val="clear" w:color="auto" w:fill="BDDEFF"/>
          </w:tcPr>
          <w:p w14:paraId="0A93AE0A" w14:textId="77777777" w:rsidR="007A6FF3" w:rsidRPr="007A6FF3" w:rsidRDefault="007A6FF3" w:rsidP="007A6FF3">
            <w:pPr>
              <w:rPr>
                <w:rFonts w:cs="Arial"/>
              </w:rPr>
            </w:pPr>
            <w:r w:rsidRPr="007A6FF3">
              <w:rPr>
                <w:rFonts w:cs="Arial"/>
              </w:rPr>
              <w:t xml:space="preserve">2A: When at work, staff are provided with support to manage obesity, diabetes, asthma, </w:t>
            </w:r>
            <w:proofErr w:type="gramStart"/>
            <w:r w:rsidRPr="007A6FF3">
              <w:rPr>
                <w:rFonts w:cs="Arial"/>
              </w:rPr>
              <w:t>COPD</w:t>
            </w:r>
            <w:proofErr w:type="gramEnd"/>
            <w:r w:rsidRPr="007A6FF3">
              <w:rPr>
                <w:rFonts w:cs="Arial"/>
              </w:rPr>
              <w:t xml:space="preserve"> and mental health conditions</w:t>
            </w:r>
          </w:p>
        </w:tc>
        <w:tc>
          <w:tcPr>
            <w:tcW w:w="6520" w:type="dxa"/>
          </w:tcPr>
          <w:p w14:paraId="5E88673C" w14:textId="77777777" w:rsidR="007A6FF3" w:rsidRPr="007A6FF3" w:rsidRDefault="007A6FF3" w:rsidP="007A6FF3">
            <w:pPr>
              <w:numPr>
                <w:ilvl w:val="0"/>
                <w:numId w:val="7"/>
              </w:numPr>
              <w:spacing w:after="200" w:line="276" w:lineRule="auto"/>
              <w:contextualSpacing/>
              <w:rPr>
                <w:rFonts w:cs="Arial"/>
              </w:rPr>
            </w:pPr>
            <w:r w:rsidRPr="007A6FF3">
              <w:rPr>
                <w:rFonts w:cs="Arial"/>
              </w:rPr>
              <w:t>Occupational Health service.</w:t>
            </w:r>
          </w:p>
          <w:p w14:paraId="31ED4C14" w14:textId="77777777" w:rsidR="007A6FF3" w:rsidRPr="007A6FF3" w:rsidRDefault="007A6FF3" w:rsidP="007A6FF3">
            <w:pPr>
              <w:numPr>
                <w:ilvl w:val="0"/>
                <w:numId w:val="7"/>
              </w:numPr>
              <w:spacing w:after="200" w:line="276" w:lineRule="auto"/>
              <w:contextualSpacing/>
              <w:rPr>
                <w:rFonts w:cs="Arial"/>
              </w:rPr>
            </w:pPr>
            <w:r w:rsidRPr="007A6FF3">
              <w:rPr>
                <w:rFonts w:cs="Arial"/>
              </w:rPr>
              <w:t xml:space="preserve">Employer Assistance Programme - available as self and manager referral. </w:t>
            </w:r>
          </w:p>
          <w:p w14:paraId="778C6897" w14:textId="77777777" w:rsidR="007A6FF3" w:rsidRPr="007A6FF3" w:rsidRDefault="007A6FF3" w:rsidP="007A6FF3">
            <w:pPr>
              <w:numPr>
                <w:ilvl w:val="0"/>
                <w:numId w:val="7"/>
              </w:numPr>
              <w:spacing w:after="200" w:line="276" w:lineRule="auto"/>
              <w:contextualSpacing/>
              <w:rPr>
                <w:rFonts w:cs="Arial"/>
              </w:rPr>
            </w:pPr>
            <w:r w:rsidRPr="007A6FF3">
              <w:t>Physical Health and Wellbeing Assessments covering the following - Blood pressure check, Blood sugar measurement, Cholesterol check, Resting heart rate, Weight measurement, Body composition and Body Mass Index. As well as lifestyle assessment during initial health assessment.</w:t>
            </w:r>
          </w:p>
          <w:p w14:paraId="60955414" w14:textId="77777777" w:rsidR="007A6FF3" w:rsidRPr="007A6FF3" w:rsidRDefault="007A6FF3" w:rsidP="007A6FF3">
            <w:pPr>
              <w:numPr>
                <w:ilvl w:val="0"/>
                <w:numId w:val="7"/>
              </w:numPr>
              <w:spacing w:after="200" w:line="276" w:lineRule="auto"/>
              <w:contextualSpacing/>
              <w:rPr>
                <w:rFonts w:cs="Arial"/>
              </w:rPr>
            </w:pPr>
            <w:r w:rsidRPr="007A6FF3">
              <w:t xml:space="preserve">Fast-Track Physiotherapy Scheme providing expert assessment and advice. </w:t>
            </w:r>
          </w:p>
          <w:p w14:paraId="5BC75A68" w14:textId="77777777" w:rsidR="007A6FF3" w:rsidRPr="007A6FF3" w:rsidRDefault="007A6FF3" w:rsidP="007A6FF3">
            <w:pPr>
              <w:numPr>
                <w:ilvl w:val="0"/>
                <w:numId w:val="7"/>
              </w:numPr>
              <w:spacing w:after="200" w:line="276" w:lineRule="auto"/>
              <w:contextualSpacing/>
              <w:rPr>
                <w:rFonts w:cs="Arial"/>
              </w:rPr>
            </w:pPr>
            <w:r w:rsidRPr="007A6FF3">
              <w:rPr>
                <w:rFonts w:cs="Arial"/>
              </w:rPr>
              <w:t>Referrals – (available as self and manager) to the West Yorkshire Health and Care Partnership Mental Health and Wellbeing and the Humber and North Yorkshire Resilience Hub - offering talking therapies on an individual basis.</w:t>
            </w:r>
          </w:p>
          <w:p w14:paraId="09E42B24" w14:textId="77777777" w:rsidR="007A6FF3" w:rsidRPr="007A6FF3" w:rsidRDefault="007A6FF3" w:rsidP="007A6FF3">
            <w:pPr>
              <w:numPr>
                <w:ilvl w:val="0"/>
                <w:numId w:val="7"/>
              </w:numPr>
              <w:spacing w:after="200" w:line="276" w:lineRule="auto"/>
              <w:contextualSpacing/>
              <w:rPr>
                <w:rFonts w:cs="Arial"/>
              </w:rPr>
            </w:pPr>
            <w:r w:rsidRPr="007A6FF3">
              <w:rPr>
                <w:rFonts w:cs="Arial"/>
              </w:rPr>
              <w:t>Trust Critical Incident Support Pathway (CrISSP) offering one to one and group debriefs following an incident.</w:t>
            </w:r>
          </w:p>
          <w:p w14:paraId="1157B203" w14:textId="77777777" w:rsidR="007A6FF3" w:rsidRPr="007A6FF3" w:rsidRDefault="007A6FF3" w:rsidP="007A6FF3">
            <w:pPr>
              <w:numPr>
                <w:ilvl w:val="0"/>
                <w:numId w:val="7"/>
              </w:numPr>
              <w:spacing w:after="200" w:line="276" w:lineRule="auto"/>
              <w:contextualSpacing/>
              <w:rPr>
                <w:rFonts w:cs="Arial"/>
              </w:rPr>
            </w:pPr>
            <w:r w:rsidRPr="007A6FF3">
              <w:rPr>
                <w:rFonts w:cs="Arial"/>
                <w:bCs/>
              </w:rPr>
              <w:t>To support the full CrISSP pathway and ensure local teams are provided with more immediate wellbeing support following an incident, joint Team Leader and peer Practitioner training is being rolled out trust wide.</w:t>
            </w:r>
          </w:p>
          <w:p w14:paraId="6C54DDD3" w14:textId="77777777" w:rsidR="007A6FF3" w:rsidRPr="007A6FF3" w:rsidRDefault="007A6FF3" w:rsidP="007A6FF3">
            <w:pPr>
              <w:numPr>
                <w:ilvl w:val="0"/>
                <w:numId w:val="7"/>
              </w:numPr>
              <w:spacing w:after="200" w:line="276" w:lineRule="auto"/>
              <w:contextualSpacing/>
              <w:rPr>
                <w:rFonts w:cs="Arial"/>
              </w:rPr>
            </w:pPr>
            <w:r w:rsidRPr="007A6FF3">
              <w:rPr>
                <w:rFonts w:cs="Arial"/>
              </w:rPr>
              <w:t xml:space="preserve">Development of local wellbeing offer - wellbeing champions, ward buddies (a person from the </w:t>
            </w:r>
            <w:r w:rsidRPr="007A6FF3">
              <w:rPr>
                <w:rFonts w:cs="Arial"/>
              </w:rPr>
              <w:lastRenderedPageBreak/>
              <w:t>wellbeing team who visits wards each month to discuss</w:t>
            </w:r>
            <w:r w:rsidRPr="007A6FF3">
              <w:rPr>
                <w:rFonts w:cs="Arial"/>
                <w:sz w:val="28"/>
                <w:szCs w:val="28"/>
              </w:rPr>
              <w:t xml:space="preserve"> </w:t>
            </w:r>
            <w:r w:rsidRPr="007A6FF3">
              <w:rPr>
                <w:rFonts w:cs="Arial"/>
              </w:rPr>
              <w:t xml:space="preserve">wellbeing and signpost to further support) </w:t>
            </w:r>
          </w:p>
          <w:p w14:paraId="0ECEE576" w14:textId="77777777" w:rsidR="007A6FF3" w:rsidRPr="007A6FF3" w:rsidRDefault="007A6FF3" w:rsidP="007A6FF3">
            <w:pPr>
              <w:numPr>
                <w:ilvl w:val="0"/>
                <w:numId w:val="7"/>
              </w:numPr>
              <w:spacing w:after="200" w:line="276" w:lineRule="auto"/>
              <w:contextualSpacing/>
              <w:rPr>
                <w:rFonts w:cs="Arial"/>
              </w:rPr>
            </w:pPr>
            <w:r w:rsidRPr="007A6FF3">
              <w:rPr>
                <w:rFonts w:cs="Arial"/>
              </w:rPr>
              <w:t xml:space="preserve">Proactive Wellbeing team – providing array of wellbeing information and signposting so wellbeing roadshows, visits to team meetings, </w:t>
            </w:r>
            <w:proofErr w:type="gramStart"/>
            <w:r w:rsidRPr="007A6FF3">
              <w:rPr>
                <w:rFonts w:cs="Arial"/>
              </w:rPr>
              <w:t>recruitment</w:t>
            </w:r>
            <w:proofErr w:type="gramEnd"/>
            <w:r w:rsidRPr="007A6FF3">
              <w:rPr>
                <w:rFonts w:cs="Arial"/>
              </w:rPr>
              <w:t xml:space="preserve"> and student fairs.</w:t>
            </w:r>
          </w:p>
          <w:p w14:paraId="32459272" w14:textId="77777777" w:rsidR="007A6FF3" w:rsidRPr="007A6FF3" w:rsidRDefault="007A6FF3" w:rsidP="007A6FF3">
            <w:pPr>
              <w:numPr>
                <w:ilvl w:val="0"/>
                <w:numId w:val="7"/>
              </w:numPr>
              <w:spacing w:after="200" w:line="276" w:lineRule="auto"/>
              <w:contextualSpacing/>
              <w:rPr>
                <w:rFonts w:cs="Arial"/>
              </w:rPr>
            </w:pPr>
            <w:r w:rsidRPr="007A6FF3">
              <w:rPr>
                <w:rFonts w:cs="Arial"/>
              </w:rPr>
              <w:t>Wellbeing Wednesday newsletter every month – different features and overview of wellbeing support.</w:t>
            </w:r>
          </w:p>
          <w:p w14:paraId="320FEA32" w14:textId="77777777" w:rsidR="007A6FF3" w:rsidRPr="007A6FF3" w:rsidRDefault="007A6FF3" w:rsidP="007A6FF3">
            <w:pPr>
              <w:numPr>
                <w:ilvl w:val="0"/>
                <w:numId w:val="7"/>
              </w:numPr>
              <w:spacing w:after="200" w:line="276" w:lineRule="auto"/>
              <w:contextualSpacing/>
              <w:rPr>
                <w:rFonts w:cs="Arial"/>
              </w:rPr>
            </w:pPr>
            <w:r w:rsidRPr="007A6FF3">
              <w:rPr>
                <w:rFonts w:cs="Arial"/>
              </w:rPr>
              <w:t xml:space="preserve">Menopause - a well-established menopause support group and monthly menopause training to increase awareness – aiming to achieve menopause accreditation in 2024.  </w:t>
            </w:r>
          </w:p>
          <w:p w14:paraId="27983E48" w14:textId="77777777" w:rsidR="007A6FF3" w:rsidRPr="007A6FF3" w:rsidRDefault="007A6FF3" w:rsidP="007A6FF3">
            <w:pPr>
              <w:numPr>
                <w:ilvl w:val="0"/>
                <w:numId w:val="7"/>
              </w:numPr>
              <w:spacing w:after="200" w:line="276" w:lineRule="auto"/>
              <w:contextualSpacing/>
              <w:rPr>
                <w:rFonts w:cs="Arial"/>
              </w:rPr>
            </w:pPr>
            <w:r w:rsidRPr="007A6FF3">
              <w:rPr>
                <w:rFonts w:cs="Arial"/>
              </w:rPr>
              <w:t xml:space="preserve">Men’s mental health campaigns – face to face campaigns within services.  </w:t>
            </w:r>
          </w:p>
          <w:p w14:paraId="169A19E3" w14:textId="77777777" w:rsidR="007A6FF3" w:rsidRPr="007A6FF3" w:rsidRDefault="007A6FF3" w:rsidP="007A6FF3">
            <w:pPr>
              <w:numPr>
                <w:ilvl w:val="0"/>
                <w:numId w:val="7"/>
              </w:numPr>
              <w:spacing w:after="200" w:line="276" w:lineRule="auto"/>
              <w:contextualSpacing/>
              <w:rPr>
                <w:rFonts w:cs="Arial"/>
              </w:rPr>
            </w:pPr>
            <w:r w:rsidRPr="007A6FF3">
              <w:rPr>
                <w:rFonts w:cs="Arial"/>
              </w:rPr>
              <w:t xml:space="preserve">Ongoing evaluation of accessibility of Wellbeing information - online, physical z cards sent to everyone’s houses and available in services and wellbeing information sessions always available for ad hoc events. </w:t>
            </w:r>
          </w:p>
          <w:p w14:paraId="30DFE91D" w14:textId="77777777" w:rsidR="007A6FF3" w:rsidRPr="007A6FF3" w:rsidRDefault="007A6FF3" w:rsidP="007A6FF3">
            <w:pPr>
              <w:numPr>
                <w:ilvl w:val="0"/>
                <w:numId w:val="7"/>
              </w:numPr>
              <w:spacing w:after="200" w:line="276" w:lineRule="auto"/>
              <w:contextualSpacing/>
              <w:rPr>
                <w:rFonts w:cs="Arial"/>
              </w:rPr>
            </w:pPr>
            <w:r w:rsidRPr="007A6FF3">
              <w:rPr>
                <w:rFonts w:cs="Arial"/>
              </w:rPr>
              <w:t xml:space="preserve">Wellbeing assessments available </w:t>
            </w:r>
            <w:proofErr w:type="gramStart"/>
            <w:r w:rsidRPr="007A6FF3">
              <w:rPr>
                <w:rFonts w:cs="Arial"/>
              </w:rPr>
              <w:t>at all times</w:t>
            </w:r>
            <w:proofErr w:type="gramEnd"/>
            <w:r w:rsidRPr="007A6FF3">
              <w:rPr>
                <w:rFonts w:cs="Arial"/>
              </w:rPr>
              <w:t xml:space="preserve">, as well as annually as part of PDR – current completion 92% </w:t>
            </w:r>
          </w:p>
          <w:p w14:paraId="18FEDA99" w14:textId="77777777" w:rsidR="007A6FF3" w:rsidRPr="007A6FF3" w:rsidRDefault="007A6FF3" w:rsidP="007A6FF3">
            <w:pPr>
              <w:numPr>
                <w:ilvl w:val="0"/>
                <w:numId w:val="7"/>
              </w:numPr>
              <w:spacing w:after="200" w:line="276" w:lineRule="auto"/>
              <w:contextualSpacing/>
              <w:rPr>
                <w:rFonts w:cs="Arial"/>
              </w:rPr>
            </w:pPr>
            <w:r w:rsidRPr="007A6FF3">
              <w:rPr>
                <w:rFonts w:cs="Arial"/>
              </w:rPr>
              <w:t xml:space="preserve">Supportive Health and Wellbeing policies, such as healthy working procedures, agile working, smoke-free. </w:t>
            </w:r>
          </w:p>
          <w:p w14:paraId="0414E9FD" w14:textId="77777777" w:rsidR="007A6FF3" w:rsidRPr="007A6FF3" w:rsidRDefault="007A6FF3" w:rsidP="007A6FF3">
            <w:pPr>
              <w:numPr>
                <w:ilvl w:val="0"/>
                <w:numId w:val="7"/>
              </w:numPr>
              <w:spacing w:after="200" w:line="276" w:lineRule="auto"/>
              <w:contextualSpacing/>
              <w:rPr>
                <w:rFonts w:cs="Arial"/>
              </w:rPr>
            </w:pPr>
            <w:r w:rsidRPr="007A6FF3">
              <w:rPr>
                <w:rFonts w:cs="Arial"/>
              </w:rPr>
              <w:t xml:space="preserve">Using National Staff Survey data to monitor if our staff feel that the ‘organisation is taking positive action on health and well-being’.  Since 2019 we </w:t>
            </w:r>
            <w:r w:rsidRPr="007A6FF3">
              <w:rPr>
                <w:rFonts w:cs="Arial"/>
              </w:rPr>
              <w:lastRenderedPageBreak/>
              <w:t>have seen consistent increases in these results, with 2022 results showing that 66% of our staff agree with this statement. The 2023 results will be available in March 2024.</w:t>
            </w:r>
          </w:p>
          <w:p w14:paraId="3161508C" w14:textId="77777777" w:rsidR="007A6FF3" w:rsidRPr="007A6FF3" w:rsidRDefault="007A6FF3" w:rsidP="007A6FF3">
            <w:pPr>
              <w:numPr>
                <w:ilvl w:val="0"/>
                <w:numId w:val="7"/>
              </w:numPr>
              <w:spacing w:after="200" w:line="276" w:lineRule="auto"/>
              <w:contextualSpacing/>
              <w:rPr>
                <w:rFonts w:cs="Arial"/>
              </w:rPr>
            </w:pPr>
            <w:r w:rsidRPr="007A6FF3">
              <w:rPr>
                <w:rFonts w:cs="Arial"/>
              </w:rPr>
              <w:t>New Wellbeing and Attendance Policy and Procedure published in March 2023.</w:t>
            </w:r>
          </w:p>
          <w:p w14:paraId="7D5BE931" w14:textId="77777777" w:rsidR="007A6FF3" w:rsidRPr="007A6FF3" w:rsidRDefault="007A6FF3" w:rsidP="007A6FF3">
            <w:pPr>
              <w:spacing w:after="200" w:line="276" w:lineRule="auto"/>
              <w:ind w:left="360"/>
              <w:contextualSpacing/>
              <w:rPr>
                <w:rFonts w:cs="Arial"/>
              </w:rPr>
            </w:pPr>
          </w:p>
          <w:p w14:paraId="4A0DF0F0" w14:textId="77777777" w:rsidR="007A6FF3" w:rsidRPr="007A6FF3" w:rsidRDefault="007A6FF3" w:rsidP="007A6FF3"/>
        </w:tc>
        <w:tc>
          <w:tcPr>
            <w:tcW w:w="993" w:type="dxa"/>
          </w:tcPr>
          <w:p w14:paraId="13E11602" w14:textId="77777777" w:rsidR="007A6FF3" w:rsidRPr="007A6FF3" w:rsidRDefault="007A6FF3" w:rsidP="007A6FF3">
            <w:pPr>
              <w:rPr>
                <w:b/>
                <w:bCs/>
              </w:rPr>
            </w:pPr>
            <w:r w:rsidRPr="007A6FF3">
              <w:rPr>
                <w:b/>
                <w:bCs/>
              </w:rPr>
              <w:lastRenderedPageBreak/>
              <w:t>Excelling</w:t>
            </w:r>
          </w:p>
          <w:p w14:paraId="3D161701" w14:textId="77777777" w:rsidR="007A6FF3" w:rsidRPr="007A6FF3" w:rsidRDefault="007A6FF3" w:rsidP="007A6FF3">
            <w:pPr>
              <w:jc w:val="center"/>
              <w:rPr>
                <w:b/>
                <w:bCs/>
              </w:rPr>
            </w:pPr>
            <w:r w:rsidRPr="007A6FF3">
              <w:rPr>
                <w:b/>
                <w:bCs/>
              </w:rPr>
              <w:t>3</w:t>
            </w:r>
          </w:p>
        </w:tc>
        <w:tc>
          <w:tcPr>
            <w:tcW w:w="1835" w:type="dxa"/>
          </w:tcPr>
          <w:p w14:paraId="137D57C2" w14:textId="77777777" w:rsidR="007A6FF3" w:rsidRPr="007A6FF3" w:rsidRDefault="007A6FF3" w:rsidP="007A6FF3">
            <w:pPr>
              <w:rPr>
                <w:b/>
                <w:bCs/>
              </w:rPr>
            </w:pPr>
            <w:r w:rsidRPr="007A6FF3">
              <w:rPr>
                <w:b/>
                <w:bCs/>
              </w:rPr>
              <w:t xml:space="preserve">People and Organisational Development Directorate </w:t>
            </w:r>
          </w:p>
          <w:p w14:paraId="4A9C7183" w14:textId="77777777" w:rsidR="007A6FF3" w:rsidRPr="007A6FF3" w:rsidRDefault="007A6FF3" w:rsidP="007A6FF3"/>
        </w:tc>
      </w:tr>
      <w:tr w:rsidR="007A6FF3" w:rsidRPr="007A6FF3" w14:paraId="0B530333" w14:textId="77777777" w:rsidTr="00761485">
        <w:trPr>
          <w:cantSplit/>
          <w:trHeight w:val="1247"/>
        </w:trPr>
        <w:tc>
          <w:tcPr>
            <w:tcW w:w="1118" w:type="dxa"/>
            <w:vMerge/>
            <w:shd w:val="clear" w:color="auto" w:fill="BDDEFF"/>
          </w:tcPr>
          <w:p w14:paraId="2B063A4A" w14:textId="77777777" w:rsidR="007A6FF3" w:rsidRPr="007A6FF3" w:rsidRDefault="007A6FF3" w:rsidP="007A6FF3">
            <w:pPr>
              <w:rPr>
                <w:rFonts w:cs="Arial"/>
              </w:rPr>
            </w:pPr>
          </w:p>
        </w:tc>
        <w:tc>
          <w:tcPr>
            <w:tcW w:w="3130" w:type="dxa"/>
            <w:shd w:val="clear" w:color="auto" w:fill="BDDEFF"/>
          </w:tcPr>
          <w:p w14:paraId="28F6FD54" w14:textId="77777777" w:rsidR="007A6FF3" w:rsidRPr="007A6FF3" w:rsidRDefault="007A6FF3" w:rsidP="007A6FF3">
            <w:pPr>
              <w:rPr>
                <w:rFonts w:cs="Arial"/>
              </w:rPr>
            </w:pPr>
            <w:r w:rsidRPr="007A6FF3">
              <w:rPr>
                <w:rFonts w:cs="Arial"/>
              </w:rPr>
              <w:t xml:space="preserve">2B: When at work, staff are free from abuse, harassment, bullying and physical violence from any source </w:t>
            </w:r>
          </w:p>
        </w:tc>
        <w:tc>
          <w:tcPr>
            <w:tcW w:w="6520" w:type="dxa"/>
          </w:tcPr>
          <w:p w14:paraId="26614E31" w14:textId="77777777" w:rsidR="007A6FF3" w:rsidRPr="007A6FF3" w:rsidRDefault="007A6FF3" w:rsidP="007A6FF3">
            <w:pPr>
              <w:numPr>
                <w:ilvl w:val="0"/>
                <w:numId w:val="6"/>
              </w:numPr>
              <w:contextualSpacing/>
              <w:rPr>
                <w:rFonts w:cs="Arial"/>
              </w:rPr>
            </w:pPr>
            <w:r w:rsidRPr="007A6FF3">
              <w:rPr>
                <w:rFonts w:cs="Arial"/>
              </w:rPr>
              <w:t xml:space="preserve">Violence Prevention and Reduction strategy agreed January 2024, incorporating sexual safety and incidents of hate. Policy and procedures to follow in 2024 with the aim of achieving the NHS VPR standard. </w:t>
            </w:r>
          </w:p>
          <w:p w14:paraId="7E017CFF" w14:textId="77777777" w:rsidR="007A6FF3" w:rsidRPr="007A6FF3" w:rsidRDefault="007A6FF3" w:rsidP="007A6FF3">
            <w:pPr>
              <w:numPr>
                <w:ilvl w:val="0"/>
                <w:numId w:val="6"/>
              </w:numPr>
              <w:spacing w:after="200" w:line="276" w:lineRule="auto"/>
              <w:contextualSpacing/>
              <w:rPr>
                <w:rFonts w:cs="Arial"/>
              </w:rPr>
            </w:pPr>
            <w:r w:rsidRPr="007A6FF3">
              <w:rPr>
                <w:rFonts w:cs="Arial"/>
              </w:rPr>
              <w:t>Signed up to the Sexual Safety in Healthcare – organisational Charter.</w:t>
            </w:r>
          </w:p>
          <w:p w14:paraId="1A25429E" w14:textId="77777777" w:rsidR="007A6FF3" w:rsidRPr="007A6FF3" w:rsidRDefault="007A6FF3" w:rsidP="007A6FF3">
            <w:pPr>
              <w:numPr>
                <w:ilvl w:val="0"/>
                <w:numId w:val="6"/>
              </w:numPr>
              <w:spacing w:after="200" w:line="276" w:lineRule="auto"/>
              <w:contextualSpacing/>
              <w:rPr>
                <w:rFonts w:cs="Arial"/>
              </w:rPr>
            </w:pPr>
            <w:r w:rsidRPr="007A6FF3">
              <w:rPr>
                <w:rFonts w:cs="Arial"/>
              </w:rPr>
              <w:t xml:space="preserve">Freedom to Speak Up Guardian and ambassadors. </w:t>
            </w:r>
          </w:p>
          <w:p w14:paraId="2279642B" w14:textId="77777777" w:rsidR="007A6FF3" w:rsidRPr="007A6FF3" w:rsidRDefault="007A6FF3" w:rsidP="007A6FF3">
            <w:pPr>
              <w:numPr>
                <w:ilvl w:val="0"/>
                <w:numId w:val="6"/>
              </w:numPr>
              <w:spacing w:after="200" w:line="276" w:lineRule="auto"/>
              <w:contextualSpacing/>
              <w:rPr>
                <w:rFonts w:cs="Arial"/>
              </w:rPr>
            </w:pPr>
            <w:r w:rsidRPr="007A6FF3">
              <w:rPr>
                <w:rFonts w:cs="Arial"/>
              </w:rPr>
              <w:t>Chaplaincy support.</w:t>
            </w:r>
          </w:p>
          <w:p w14:paraId="26048503" w14:textId="77777777" w:rsidR="007A6FF3" w:rsidRPr="007A6FF3" w:rsidRDefault="007A6FF3" w:rsidP="007A6FF3">
            <w:pPr>
              <w:numPr>
                <w:ilvl w:val="0"/>
                <w:numId w:val="6"/>
              </w:numPr>
              <w:spacing w:after="200" w:line="276" w:lineRule="auto"/>
              <w:contextualSpacing/>
              <w:rPr>
                <w:rFonts w:cs="Arial"/>
              </w:rPr>
            </w:pPr>
            <w:r w:rsidRPr="007A6FF3">
              <w:rPr>
                <w:rFonts w:cs="Arial"/>
              </w:rPr>
              <w:t>Staff Networks - for WREN (Workforce Race Equality Network), DaWN (Disability and Wellbeing Network) and Rainbow Alliance (LGBTQ+).</w:t>
            </w:r>
          </w:p>
          <w:p w14:paraId="166F9132" w14:textId="77777777" w:rsidR="007A6FF3" w:rsidRPr="007A6FF3" w:rsidRDefault="007A6FF3" w:rsidP="007A6FF3">
            <w:pPr>
              <w:numPr>
                <w:ilvl w:val="0"/>
                <w:numId w:val="6"/>
              </w:numPr>
              <w:spacing w:after="200" w:line="276" w:lineRule="auto"/>
              <w:contextualSpacing/>
            </w:pPr>
            <w:r w:rsidRPr="007A6FF3">
              <w:rPr>
                <w:rFonts w:cs="Arial"/>
              </w:rPr>
              <w:t>Routes to raise concerns include, Immediate line managers, Freedom to Speak Up Guardians (including Freedom to Speak Up Ambassadors in place), Staff Side, HR, Staff Networks, Complaints and PALS and Patient Safety and Incident Response Framework (PSIRF).</w:t>
            </w:r>
          </w:p>
          <w:p w14:paraId="5121DB1E" w14:textId="77777777" w:rsidR="007A6FF3" w:rsidRPr="007A6FF3" w:rsidRDefault="007A6FF3" w:rsidP="007A6FF3">
            <w:pPr>
              <w:numPr>
                <w:ilvl w:val="0"/>
                <w:numId w:val="6"/>
              </w:numPr>
              <w:spacing w:after="200" w:line="276" w:lineRule="auto"/>
              <w:contextualSpacing/>
            </w:pPr>
            <w:r w:rsidRPr="007A6FF3">
              <w:rPr>
                <w:rFonts w:cs="Arial"/>
              </w:rPr>
              <w:t xml:space="preserve">Policies to support raising concerns include, Trust Grievance Policy, Bullying and Harassment policy, new Disciplinary </w:t>
            </w:r>
            <w:proofErr w:type="gramStart"/>
            <w:r w:rsidRPr="007A6FF3">
              <w:rPr>
                <w:rFonts w:cs="Arial"/>
              </w:rPr>
              <w:t>Policy</w:t>
            </w:r>
            <w:proofErr w:type="gramEnd"/>
            <w:r w:rsidRPr="007A6FF3">
              <w:rPr>
                <w:rFonts w:cs="Arial"/>
              </w:rPr>
              <w:t xml:space="preserve"> and Procedure.</w:t>
            </w:r>
          </w:p>
          <w:p w14:paraId="1ADFF155" w14:textId="77777777" w:rsidR="007A6FF3" w:rsidRPr="007A6FF3" w:rsidRDefault="007A6FF3" w:rsidP="007A6FF3">
            <w:pPr>
              <w:numPr>
                <w:ilvl w:val="0"/>
                <w:numId w:val="6"/>
              </w:numPr>
              <w:spacing w:line="276" w:lineRule="auto"/>
              <w:contextualSpacing/>
              <w:rPr>
                <w:rFonts w:cs="Arial"/>
              </w:rPr>
            </w:pPr>
            <w:r w:rsidRPr="007A6FF3">
              <w:rPr>
                <w:rFonts w:cs="Arial"/>
              </w:rPr>
              <w:t>Training to support managers include the Manager 360 – incorporating ‘Managing Self’, ‘Managing Teams’ and ‘managing individuals.’</w:t>
            </w:r>
          </w:p>
          <w:p w14:paraId="1C39FEC8" w14:textId="77777777" w:rsidR="007A6FF3" w:rsidRPr="007A6FF3" w:rsidRDefault="007A6FF3" w:rsidP="007A6FF3">
            <w:pPr>
              <w:numPr>
                <w:ilvl w:val="0"/>
                <w:numId w:val="6"/>
              </w:numPr>
              <w:spacing w:line="276" w:lineRule="auto"/>
              <w:contextualSpacing/>
              <w:rPr>
                <w:rFonts w:cs="Arial"/>
              </w:rPr>
            </w:pPr>
            <w:r w:rsidRPr="007A6FF3">
              <w:rPr>
                <w:rFonts w:cs="Arial"/>
              </w:rPr>
              <w:t>Civility &amp; Respect Executive Statement in place, on the horizon for 2024 is the Culture Competence training and being and Active Bystander.</w:t>
            </w:r>
          </w:p>
          <w:p w14:paraId="77EFFB45" w14:textId="77777777" w:rsidR="007A6FF3" w:rsidRPr="007A6FF3" w:rsidRDefault="007A6FF3" w:rsidP="007A6FF3"/>
          <w:p w14:paraId="4C87843F" w14:textId="77777777" w:rsidR="007A6FF3" w:rsidRPr="007A6FF3" w:rsidRDefault="007A6FF3" w:rsidP="007A6FF3">
            <w:pPr>
              <w:spacing w:line="276" w:lineRule="auto"/>
              <w:ind w:left="720"/>
            </w:pPr>
            <w:r w:rsidRPr="007A6FF3">
              <w:lastRenderedPageBreak/>
              <w:t>EDS Domain 2 Outcome 2B directly corresponds to WRES Indicators 5&amp;6 and are based on the same underlying information, so outcomes and key finding indicators from the NHS Staff Survey [questions 22, 23, 25 and 26]).</w:t>
            </w:r>
          </w:p>
          <w:p w14:paraId="05E93A3C" w14:textId="77777777" w:rsidR="007A6FF3" w:rsidRPr="007A6FF3" w:rsidRDefault="007A6FF3" w:rsidP="007A6FF3">
            <w:pPr>
              <w:numPr>
                <w:ilvl w:val="0"/>
                <w:numId w:val="6"/>
              </w:numPr>
              <w:spacing w:after="200" w:line="276" w:lineRule="auto"/>
              <w:contextualSpacing/>
              <w:rPr>
                <w:rFonts w:cs="Arial"/>
                <w:sz w:val="28"/>
                <w:szCs w:val="28"/>
              </w:rPr>
            </w:pPr>
            <w:r w:rsidRPr="007A6FF3">
              <w:t xml:space="preserve">Analysis of our data in relation to this identifies that: </w:t>
            </w:r>
          </w:p>
          <w:p w14:paraId="5F6BBF00" w14:textId="77777777" w:rsidR="007A6FF3" w:rsidRPr="007A6FF3" w:rsidRDefault="007A6FF3" w:rsidP="007A6FF3">
            <w:pPr>
              <w:numPr>
                <w:ilvl w:val="1"/>
                <w:numId w:val="6"/>
              </w:numPr>
              <w:spacing w:after="200" w:line="276" w:lineRule="auto"/>
              <w:contextualSpacing/>
              <w:rPr>
                <w:rFonts w:cs="Arial"/>
                <w:sz w:val="28"/>
                <w:szCs w:val="28"/>
              </w:rPr>
            </w:pPr>
            <w:r w:rsidRPr="007A6FF3">
              <w:t xml:space="preserve">From Service Users or the Public 31% of disabled staff said that they had experienced bullying and harassment or abuse from service users in 2022. This is the same as in 2021 and is slightly below the benchmark score. 6 </w:t>
            </w:r>
          </w:p>
          <w:p w14:paraId="438B4D79" w14:textId="77777777" w:rsidR="007A6FF3" w:rsidRPr="007A6FF3" w:rsidRDefault="007A6FF3" w:rsidP="007A6FF3">
            <w:pPr>
              <w:numPr>
                <w:ilvl w:val="1"/>
                <w:numId w:val="6"/>
              </w:numPr>
              <w:spacing w:after="200" w:line="276" w:lineRule="auto"/>
              <w:contextualSpacing/>
              <w:rPr>
                <w:rFonts w:cs="Arial"/>
                <w:sz w:val="28"/>
                <w:szCs w:val="28"/>
              </w:rPr>
            </w:pPr>
            <w:r w:rsidRPr="007A6FF3">
              <w:t xml:space="preserve">From Managers 10% of disabled staff said that they had experienced bullying and harassment or abuse from managers in 2022, an improvement from 2021 which was 12%, but is higher than non-disabled staff (5%). </w:t>
            </w:r>
          </w:p>
          <w:p w14:paraId="5227F911" w14:textId="77777777" w:rsidR="007A6FF3" w:rsidRPr="007A6FF3" w:rsidRDefault="007A6FF3" w:rsidP="007A6FF3">
            <w:pPr>
              <w:numPr>
                <w:ilvl w:val="1"/>
                <w:numId w:val="6"/>
              </w:numPr>
              <w:spacing w:after="200" w:line="276" w:lineRule="auto"/>
              <w:contextualSpacing/>
              <w:rPr>
                <w:rFonts w:cs="Arial"/>
                <w:sz w:val="28"/>
                <w:szCs w:val="28"/>
              </w:rPr>
            </w:pPr>
            <w:r w:rsidRPr="007A6FF3">
              <w:t xml:space="preserve">From Colleagues 20% of disabled staff said they had experienced bullying and harassment or abuse from colleagues, this was a reduction from 22% in 2021 and is slightly below the benchmark group. </w:t>
            </w:r>
          </w:p>
          <w:p w14:paraId="628AE068" w14:textId="77777777" w:rsidR="007A6FF3" w:rsidRPr="007A6FF3" w:rsidRDefault="007A6FF3" w:rsidP="007A6FF3">
            <w:pPr>
              <w:numPr>
                <w:ilvl w:val="1"/>
                <w:numId w:val="6"/>
              </w:numPr>
              <w:spacing w:after="200" w:line="276" w:lineRule="auto"/>
              <w:contextualSpacing/>
              <w:rPr>
                <w:rFonts w:cs="Arial"/>
                <w:sz w:val="28"/>
                <w:szCs w:val="28"/>
              </w:rPr>
            </w:pPr>
            <w:r w:rsidRPr="007A6FF3">
              <w:t xml:space="preserve">The Harassment, Bullying or Abuse question asks disabled respondents if they experienced bullying or harassment in the last 12 months and whether they or a colleague reported it. There has been a 7% reduction in the score to </w:t>
            </w:r>
            <w:r w:rsidRPr="007A6FF3">
              <w:lastRenderedPageBreak/>
              <w:t>this question and although the 2022 score at 60% is equal to the benchmark.</w:t>
            </w:r>
          </w:p>
          <w:p w14:paraId="04CFF0D1" w14:textId="77777777" w:rsidR="007A6FF3" w:rsidRPr="007A6FF3" w:rsidRDefault="007A6FF3" w:rsidP="007A6FF3">
            <w:pPr>
              <w:spacing w:after="200" w:line="276" w:lineRule="auto"/>
              <w:ind w:left="360"/>
              <w:contextualSpacing/>
              <w:rPr>
                <w:rFonts w:cs="Arial"/>
                <w:sz w:val="28"/>
                <w:szCs w:val="28"/>
              </w:rPr>
            </w:pPr>
          </w:p>
          <w:p w14:paraId="38563F25" w14:textId="77777777" w:rsidR="007A6FF3" w:rsidRPr="007A6FF3" w:rsidRDefault="007A6FF3" w:rsidP="007A6FF3"/>
        </w:tc>
        <w:tc>
          <w:tcPr>
            <w:tcW w:w="993" w:type="dxa"/>
          </w:tcPr>
          <w:p w14:paraId="5FC13147" w14:textId="77777777" w:rsidR="007A6FF3" w:rsidRPr="007A6FF3" w:rsidRDefault="007A6FF3" w:rsidP="007A6FF3">
            <w:pPr>
              <w:rPr>
                <w:b/>
                <w:bCs/>
              </w:rPr>
            </w:pPr>
            <w:r w:rsidRPr="007A6FF3">
              <w:rPr>
                <w:b/>
                <w:bCs/>
              </w:rPr>
              <w:lastRenderedPageBreak/>
              <w:t>Achieving</w:t>
            </w:r>
          </w:p>
          <w:p w14:paraId="118C4B89" w14:textId="77777777" w:rsidR="007A6FF3" w:rsidRPr="007A6FF3" w:rsidRDefault="007A6FF3" w:rsidP="007A6FF3">
            <w:pPr>
              <w:jc w:val="center"/>
              <w:rPr>
                <w:b/>
                <w:bCs/>
              </w:rPr>
            </w:pPr>
            <w:r w:rsidRPr="007A6FF3">
              <w:rPr>
                <w:b/>
                <w:bCs/>
              </w:rPr>
              <w:t>2</w:t>
            </w:r>
          </w:p>
        </w:tc>
        <w:tc>
          <w:tcPr>
            <w:tcW w:w="1835" w:type="dxa"/>
          </w:tcPr>
          <w:p w14:paraId="4E3A78F9" w14:textId="77777777" w:rsidR="007A6FF3" w:rsidRPr="007A6FF3" w:rsidRDefault="007A6FF3" w:rsidP="007A6FF3">
            <w:pPr>
              <w:rPr>
                <w:b/>
                <w:bCs/>
              </w:rPr>
            </w:pPr>
            <w:r w:rsidRPr="007A6FF3">
              <w:rPr>
                <w:b/>
                <w:bCs/>
              </w:rPr>
              <w:t>People and Organisational Development</w:t>
            </w:r>
          </w:p>
          <w:p w14:paraId="343FB6C2" w14:textId="77777777" w:rsidR="007A6FF3" w:rsidRPr="007A6FF3" w:rsidRDefault="007A6FF3" w:rsidP="007A6FF3"/>
        </w:tc>
      </w:tr>
      <w:tr w:rsidR="007A6FF3" w:rsidRPr="007A6FF3" w14:paraId="18113835" w14:textId="77777777" w:rsidTr="00761485">
        <w:trPr>
          <w:cantSplit/>
          <w:trHeight w:val="1247"/>
        </w:trPr>
        <w:tc>
          <w:tcPr>
            <w:tcW w:w="1118" w:type="dxa"/>
            <w:vMerge/>
            <w:shd w:val="clear" w:color="auto" w:fill="BDDEFF"/>
          </w:tcPr>
          <w:p w14:paraId="0AAE8363" w14:textId="77777777" w:rsidR="007A6FF3" w:rsidRPr="007A6FF3" w:rsidRDefault="007A6FF3" w:rsidP="007A6FF3">
            <w:pPr>
              <w:rPr>
                <w:rFonts w:cs="Arial"/>
              </w:rPr>
            </w:pPr>
          </w:p>
        </w:tc>
        <w:tc>
          <w:tcPr>
            <w:tcW w:w="3130" w:type="dxa"/>
            <w:shd w:val="clear" w:color="auto" w:fill="BDDEFF"/>
          </w:tcPr>
          <w:p w14:paraId="63F327DB" w14:textId="77777777" w:rsidR="007A6FF3" w:rsidRPr="007A6FF3" w:rsidRDefault="007A6FF3" w:rsidP="007A6FF3">
            <w:pPr>
              <w:rPr>
                <w:rFonts w:cs="Arial"/>
              </w:rPr>
            </w:pPr>
            <w:r w:rsidRPr="007A6FF3">
              <w:rPr>
                <w:rFonts w:cs="Arial"/>
              </w:rPr>
              <w:t>2C: Staff have access to i</w:t>
            </w:r>
            <w:r w:rsidRPr="007A6FF3">
              <w:rPr>
                <w:rFonts w:cs="Arial"/>
                <w:bCs/>
              </w:rPr>
              <w:t xml:space="preserve">ndependent </w:t>
            </w:r>
            <w:r w:rsidRPr="007A6FF3">
              <w:rPr>
                <w:rFonts w:cs="Arial"/>
              </w:rPr>
              <w:t>support and advice when suffering from stress, abuse, bullying harassment and physical violence from any source</w:t>
            </w:r>
          </w:p>
        </w:tc>
        <w:tc>
          <w:tcPr>
            <w:tcW w:w="6520" w:type="dxa"/>
          </w:tcPr>
          <w:p w14:paraId="024CF3EC" w14:textId="77777777" w:rsidR="007A6FF3" w:rsidRPr="007A6FF3" w:rsidRDefault="007A6FF3" w:rsidP="007A6FF3">
            <w:pPr>
              <w:numPr>
                <w:ilvl w:val="0"/>
                <w:numId w:val="8"/>
              </w:numPr>
              <w:spacing w:after="200" w:line="276" w:lineRule="auto"/>
              <w:contextualSpacing/>
              <w:rPr>
                <w:rFonts w:cs="Arial"/>
              </w:rPr>
            </w:pPr>
            <w:r w:rsidRPr="007A6FF3">
              <w:rPr>
                <w:rFonts w:cs="Arial"/>
              </w:rPr>
              <w:t>Routes to raise concerns include, Immediate line managers, Freedom to Speak Up Guardians (including Freedom to Speak Up Ambassadors in place), Staff Side, HR, Staff Networks, Complaints and PALS and Patient Safety and Incident Response Framework (PSIRF).</w:t>
            </w:r>
          </w:p>
          <w:p w14:paraId="5D3665C5" w14:textId="77777777" w:rsidR="007A6FF3" w:rsidRPr="007A6FF3" w:rsidRDefault="007A6FF3" w:rsidP="007A6FF3">
            <w:pPr>
              <w:numPr>
                <w:ilvl w:val="0"/>
                <w:numId w:val="8"/>
              </w:numPr>
              <w:spacing w:after="200" w:line="276" w:lineRule="auto"/>
              <w:contextualSpacing/>
              <w:rPr>
                <w:rFonts w:cs="Arial"/>
              </w:rPr>
            </w:pPr>
            <w:r w:rsidRPr="007A6FF3">
              <w:rPr>
                <w:rFonts w:cs="Arial"/>
              </w:rPr>
              <w:t>We have a Values and Behavioural toolkit which has been collaboratively developed to help us talk about how we behave, how we may need to modify or change our behaviour and how we hold each other to account.</w:t>
            </w:r>
          </w:p>
          <w:p w14:paraId="0AEB29E3" w14:textId="77777777" w:rsidR="007A6FF3" w:rsidRPr="007A6FF3" w:rsidRDefault="007A6FF3" w:rsidP="007A6FF3">
            <w:pPr>
              <w:numPr>
                <w:ilvl w:val="0"/>
                <w:numId w:val="8"/>
              </w:numPr>
              <w:spacing w:after="200" w:line="276" w:lineRule="auto"/>
              <w:contextualSpacing/>
              <w:rPr>
                <w:rFonts w:cs="Arial"/>
              </w:rPr>
            </w:pPr>
            <w:r w:rsidRPr="007A6FF3">
              <w:rPr>
                <w:rFonts w:cs="Arial"/>
              </w:rPr>
              <w:t>Supporting policies include:</w:t>
            </w:r>
          </w:p>
          <w:p w14:paraId="7AB2A27B" w14:textId="77777777" w:rsidR="007A6FF3" w:rsidRPr="007A6FF3" w:rsidRDefault="007A6FF3" w:rsidP="007A6FF3">
            <w:pPr>
              <w:numPr>
                <w:ilvl w:val="1"/>
                <w:numId w:val="8"/>
              </w:numPr>
              <w:spacing w:after="200" w:line="276" w:lineRule="auto"/>
              <w:contextualSpacing/>
              <w:rPr>
                <w:rFonts w:cs="Arial"/>
              </w:rPr>
            </w:pPr>
            <w:r w:rsidRPr="007A6FF3">
              <w:rPr>
                <w:rFonts w:cs="Arial"/>
              </w:rPr>
              <w:t>Bullying, harassment, and victimisation Policy</w:t>
            </w:r>
          </w:p>
          <w:p w14:paraId="321051A7" w14:textId="77777777" w:rsidR="007A6FF3" w:rsidRPr="007A6FF3" w:rsidRDefault="007A6FF3" w:rsidP="007A6FF3">
            <w:pPr>
              <w:numPr>
                <w:ilvl w:val="1"/>
                <w:numId w:val="8"/>
              </w:numPr>
              <w:spacing w:after="200" w:line="276" w:lineRule="auto"/>
              <w:contextualSpacing/>
              <w:rPr>
                <w:rFonts w:cs="Arial"/>
              </w:rPr>
            </w:pPr>
            <w:r w:rsidRPr="007A6FF3">
              <w:rPr>
                <w:rFonts w:cs="Arial"/>
              </w:rPr>
              <w:t>Disciplinary Policy</w:t>
            </w:r>
          </w:p>
          <w:p w14:paraId="37194F02" w14:textId="77777777" w:rsidR="007A6FF3" w:rsidRPr="007A6FF3" w:rsidRDefault="007A6FF3" w:rsidP="007A6FF3">
            <w:pPr>
              <w:numPr>
                <w:ilvl w:val="1"/>
                <w:numId w:val="8"/>
              </w:numPr>
              <w:spacing w:after="200" w:line="276" w:lineRule="auto"/>
              <w:contextualSpacing/>
              <w:rPr>
                <w:rFonts w:cs="Arial"/>
              </w:rPr>
            </w:pPr>
            <w:r w:rsidRPr="007A6FF3">
              <w:rPr>
                <w:rFonts w:cs="Arial"/>
              </w:rPr>
              <w:t>Grievance Policy</w:t>
            </w:r>
          </w:p>
          <w:p w14:paraId="60F8C34F" w14:textId="77777777" w:rsidR="007A6FF3" w:rsidRPr="007A6FF3" w:rsidRDefault="007A6FF3" w:rsidP="007A6FF3">
            <w:pPr>
              <w:numPr>
                <w:ilvl w:val="1"/>
                <w:numId w:val="8"/>
              </w:numPr>
              <w:spacing w:after="200" w:line="276" w:lineRule="auto"/>
              <w:contextualSpacing/>
              <w:rPr>
                <w:rFonts w:cs="Arial"/>
              </w:rPr>
            </w:pPr>
            <w:r w:rsidRPr="007A6FF3">
              <w:rPr>
                <w:rFonts w:cs="Arial"/>
              </w:rPr>
              <w:t>Freedom to Speak Up Policy</w:t>
            </w:r>
          </w:p>
          <w:p w14:paraId="4269A7C2" w14:textId="77777777" w:rsidR="007A6FF3" w:rsidRPr="007A6FF3" w:rsidRDefault="007A6FF3" w:rsidP="007A6FF3">
            <w:pPr>
              <w:numPr>
                <w:ilvl w:val="1"/>
                <w:numId w:val="8"/>
              </w:numPr>
              <w:spacing w:after="200" w:line="276" w:lineRule="auto"/>
              <w:contextualSpacing/>
              <w:rPr>
                <w:rFonts w:cs="Arial"/>
              </w:rPr>
            </w:pPr>
            <w:r w:rsidRPr="007A6FF3">
              <w:rPr>
                <w:rFonts w:cs="Arial"/>
              </w:rPr>
              <w:t>Equality, Diversity and Human Rights Policy</w:t>
            </w:r>
          </w:p>
          <w:p w14:paraId="6A559331" w14:textId="77777777" w:rsidR="007A6FF3" w:rsidRPr="007A6FF3" w:rsidRDefault="007A6FF3" w:rsidP="007A6FF3">
            <w:pPr>
              <w:numPr>
                <w:ilvl w:val="1"/>
                <w:numId w:val="8"/>
              </w:numPr>
              <w:spacing w:after="200" w:line="276" w:lineRule="auto"/>
              <w:contextualSpacing/>
              <w:rPr>
                <w:rFonts w:cs="Arial"/>
              </w:rPr>
            </w:pPr>
            <w:r w:rsidRPr="007A6FF3">
              <w:rPr>
                <w:rFonts w:cs="Arial"/>
              </w:rPr>
              <w:t>Gender Transition at Work policy</w:t>
            </w:r>
          </w:p>
          <w:p w14:paraId="6FFCB735" w14:textId="77777777" w:rsidR="007A6FF3" w:rsidRPr="007A6FF3" w:rsidRDefault="007A6FF3" w:rsidP="007A6FF3">
            <w:pPr>
              <w:numPr>
                <w:ilvl w:val="1"/>
                <w:numId w:val="8"/>
              </w:numPr>
              <w:spacing w:after="200" w:line="276" w:lineRule="auto"/>
              <w:contextualSpacing/>
              <w:rPr>
                <w:rFonts w:cs="Arial"/>
              </w:rPr>
            </w:pPr>
            <w:r w:rsidRPr="007A6FF3">
              <w:rPr>
                <w:rFonts w:cs="Arial"/>
              </w:rPr>
              <w:t>Framework for Personal Responsibility</w:t>
            </w:r>
          </w:p>
          <w:p w14:paraId="4D0D687C" w14:textId="77777777" w:rsidR="007A6FF3" w:rsidRPr="007A6FF3" w:rsidRDefault="007A6FF3" w:rsidP="007A6FF3">
            <w:pPr>
              <w:numPr>
                <w:ilvl w:val="0"/>
                <w:numId w:val="8"/>
              </w:numPr>
              <w:spacing w:after="200" w:line="276" w:lineRule="auto"/>
              <w:contextualSpacing/>
              <w:rPr>
                <w:rFonts w:cs="Arial"/>
              </w:rPr>
            </w:pPr>
            <w:r w:rsidRPr="007A6FF3">
              <w:rPr>
                <w:rFonts w:cs="Arial"/>
              </w:rPr>
              <w:t>Staff Alley pledge to support inclusion.</w:t>
            </w:r>
          </w:p>
          <w:p w14:paraId="166E3D2F" w14:textId="77777777" w:rsidR="007A6FF3" w:rsidRPr="007A6FF3" w:rsidRDefault="007A6FF3" w:rsidP="007A6FF3">
            <w:pPr>
              <w:numPr>
                <w:ilvl w:val="0"/>
                <w:numId w:val="8"/>
              </w:numPr>
              <w:spacing w:after="200" w:line="276" w:lineRule="auto"/>
              <w:contextualSpacing/>
              <w:rPr>
                <w:rFonts w:cs="Arial"/>
              </w:rPr>
            </w:pPr>
            <w:r w:rsidRPr="007A6FF3">
              <w:rPr>
                <w:rFonts w:cs="Arial"/>
              </w:rPr>
              <w:t>Manager 360 programme designed around our values which sets out expectations of how managers should role model these values and create positive environments for our staff.</w:t>
            </w:r>
          </w:p>
          <w:p w14:paraId="1E2DE947" w14:textId="77777777" w:rsidR="007A6FF3" w:rsidRPr="007A6FF3" w:rsidRDefault="007A6FF3" w:rsidP="007A6FF3">
            <w:pPr>
              <w:spacing w:after="200" w:line="276" w:lineRule="auto"/>
              <w:ind w:left="360"/>
              <w:contextualSpacing/>
              <w:rPr>
                <w:rFonts w:cs="Arial"/>
              </w:rPr>
            </w:pPr>
          </w:p>
          <w:p w14:paraId="625AFAEB" w14:textId="77777777" w:rsidR="007A6FF3" w:rsidRPr="007A6FF3" w:rsidRDefault="007A6FF3" w:rsidP="007A6FF3">
            <w:pPr>
              <w:numPr>
                <w:ilvl w:val="0"/>
                <w:numId w:val="8"/>
              </w:numPr>
              <w:spacing w:after="200" w:line="276" w:lineRule="auto"/>
              <w:contextualSpacing/>
              <w:rPr>
                <w:rFonts w:cs="Arial"/>
              </w:rPr>
            </w:pPr>
            <w:r w:rsidRPr="007A6FF3">
              <w:t xml:space="preserve">The WRES indicator 5 (from Staff survey) results from 2022, which gained feedback from 187 BME </w:t>
            </w:r>
            <w:r w:rsidRPr="007A6FF3">
              <w:lastRenderedPageBreak/>
              <w:t xml:space="preserve">staff, indicates that 36.0% of BME staff have experienced harassment, bullying or abuse from patients, services users, their </w:t>
            </w:r>
            <w:proofErr w:type="gramStart"/>
            <w:r w:rsidRPr="007A6FF3">
              <w:t>relatives</w:t>
            </w:r>
            <w:proofErr w:type="gramEnd"/>
            <w:r w:rsidRPr="007A6FF3">
              <w:t xml:space="preserve"> or the public. Although there has been a slight reduction in the percentage of BME staff saying that they have experienced bullying and harassment from service users, this figure is 5.0% above the benchmark and is 10.0% higher than the experience of white staff.</w:t>
            </w:r>
          </w:p>
          <w:p w14:paraId="5758F711" w14:textId="77777777" w:rsidR="007A6FF3" w:rsidRPr="007A6FF3" w:rsidRDefault="007A6FF3" w:rsidP="007A6FF3">
            <w:pPr>
              <w:numPr>
                <w:ilvl w:val="0"/>
                <w:numId w:val="8"/>
              </w:numPr>
              <w:spacing w:after="200" w:line="276" w:lineRule="auto"/>
              <w:contextualSpacing/>
            </w:pPr>
            <w:r w:rsidRPr="007A6FF3">
              <w:t>WRES Indicator 6: (Staff survey) results from 2022, which gained feedback from 187 BME staff, indicates that 22.0% of BME staff experienced harassment, bullying and abuse from other staff, which is a decrease of 1.0% from 2021. Although this is below the benchmark figure by 1% the figure is 6% higher than the experience of white staff.</w:t>
            </w:r>
          </w:p>
        </w:tc>
        <w:tc>
          <w:tcPr>
            <w:tcW w:w="993" w:type="dxa"/>
          </w:tcPr>
          <w:p w14:paraId="0B0B1E05" w14:textId="77777777" w:rsidR="007A6FF3" w:rsidRPr="007A6FF3" w:rsidRDefault="007A6FF3" w:rsidP="007A6FF3">
            <w:pPr>
              <w:rPr>
                <w:b/>
                <w:bCs/>
              </w:rPr>
            </w:pPr>
            <w:r w:rsidRPr="007A6FF3">
              <w:rPr>
                <w:b/>
                <w:bCs/>
              </w:rPr>
              <w:lastRenderedPageBreak/>
              <w:t>Achieving</w:t>
            </w:r>
          </w:p>
          <w:p w14:paraId="448B6D4C" w14:textId="77777777" w:rsidR="007A6FF3" w:rsidRPr="007A6FF3" w:rsidRDefault="007A6FF3" w:rsidP="007A6FF3">
            <w:pPr>
              <w:jc w:val="center"/>
              <w:rPr>
                <w:b/>
                <w:bCs/>
              </w:rPr>
            </w:pPr>
            <w:r w:rsidRPr="007A6FF3">
              <w:rPr>
                <w:b/>
                <w:bCs/>
              </w:rPr>
              <w:t>2</w:t>
            </w:r>
          </w:p>
        </w:tc>
        <w:tc>
          <w:tcPr>
            <w:tcW w:w="1835" w:type="dxa"/>
          </w:tcPr>
          <w:p w14:paraId="33ECE164" w14:textId="77777777" w:rsidR="007A6FF3" w:rsidRPr="007A6FF3" w:rsidRDefault="007A6FF3" w:rsidP="007A6FF3">
            <w:pPr>
              <w:rPr>
                <w:b/>
                <w:bCs/>
              </w:rPr>
            </w:pPr>
            <w:r w:rsidRPr="007A6FF3">
              <w:rPr>
                <w:b/>
                <w:bCs/>
              </w:rPr>
              <w:t>People and Organisational Development</w:t>
            </w:r>
          </w:p>
          <w:p w14:paraId="218F7892" w14:textId="77777777" w:rsidR="007A6FF3" w:rsidRPr="007A6FF3" w:rsidRDefault="007A6FF3" w:rsidP="007A6FF3"/>
        </w:tc>
      </w:tr>
      <w:tr w:rsidR="007A6FF3" w:rsidRPr="007A6FF3" w14:paraId="43DBC4AC" w14:textId="77777777" w:rsidTr="00761485">
        <w:trPr>
          <w:cantSplit/>
          <w:trHeight w:val="1247"/>
        </w:trPr>
        <w:tc>
          <w:tcPr>
            <w:tcW w:w="1118" w:type="dxa"/>
            <w:vMerge/>
            <w:shd w:val="clear" w:color="auto" w:fill="BDDEFF"/>
          </w:tcPr>
          <w:p w14:paraId="67A60173" w14:textId="77777777" w:rsidR="007A6FF3" w:rsidRPr="007A6FF3" w:rsidRDefault="007A6FF3" w:rsidP="007A6FF3">
            <w:pPr>
              <w:rPr>
                <w:rFonts w:cs="Arial"/>
              </w:rPr>
            </w:pPr>
          </w:p>
        </w:tc>
        <w:tc>
          <w:tcPr>
            <w:tcW w:w="3130" w:type="dxa"/>
            <w:shd w:val="clear" w:color="auto" w:fill="BDDEFF"/>
          </w:tcPr>
          <w:p w14:paraId="66927B75" w14:textId="77777777" w:rsidR="007A6FF3" w:rsidRPr="007A6FF3" w:rsidRDefault="007A6FF3" w:rsidP="007A6FF3">
            <w:pPr>
              <w:rPr>
                <w:rFonts w:cs="Arial"/>
              </w:rPr>
            </w:pPr>
            <w:r w:rsidRPr="007A6FF3">
              <w:rPr>
                <w:rFonts w:cs="Arial"/>
              </w:rPr>
              <w:t>2D: Staff recommend the organisation as a place to work and receive treatment</w:t>
            </w:r>
          </w:p>
        </w:tc>
        <w:tc>
          <w:tcPr>
            <w:tcW w:w="6520" w:type="dxa"/>
          </w:tcPr>
          <w:p w14:paraId="1C9719D0" w14:textId="77777777" w:rsidR="007A6FF3" w:rsidRPr="007A6FF3" w:rsidRDefault="007A6FF3" w:rsidP="007A6FF3">
            <w:pPr>
              <w:numPr>
                <w:ilvl w:val="0"/>
                <w:numId w:val="5"/>
              </w:numPr>
              <w:spacing w:after="200" w:line="276" w:lineRule="auto"/>
              <w:contextualSpacing/>
              <w:rPr>
                <w:rFonts w:cs="Arial"/>
              </w:rPr>
            </w:pPr>
            <w:r w:rsidRPr="007A6FF3">
              <w:rPr>
                <w:rFonts w:cs="Arial"/>
              </w:rPr>
              <w:t xml:space="preserve">Findings from indicator KF1 in the NHS staff survey for this question are:  </w:t>
            </w:r>
          </w:p>
          <w:p w14:paraId="6BC60006" w14:textId="77777777" w:rsidR="007A6FF3" w:rsidRPr="007A6FF3" w:rsidRDefault="007A6FF3" w:rsidP="007A6FF3">
            <w:pPr>
              <w:numPr>
                <w:ilvl w:val="1"/>
                <w:numId w:val="5"/>
              </w:numPr>
              <w:spacing w:after="200" w:line="276" w:lineRule="auto"/>
              <w:contextualSpacing/>
              <w:rPr>
                <w:rFonts w:cs="Arial"/>
              </w:rPr>
            </w:pPr>
            <w:r w:rsidRPr="007A6FF3">
              <w:rPr>
                <w:rFonts w:cs="Arial"/>
              </w:rPr>
              <w:t xml:space="preserve">In 2022, 63.8% of staff would recommend our organisation as a place to work, against an NHS Average of 62.8% </w:t>
            </w:r>
          </w:p>
          <w:p w14:paraId="25FBE09D" w14:textId="77777777" w:rsidR="007A6FF3" w:rsidRPr="007A6FF3" w:rsidRDefault="007A6FF3" w:rsidP="007A6FF3">
            <w:pPr>
              <w:numPr>
                <w:ilvl w:val="1"/>
                <w:numId w:val="5"/>
              </w:numPr>
              <w:spacing w:after="200" w:line="276" w:lineRule="auto"/>
              <w:contextualSpacing/>
              <w:rPr>
                <w:rFonts w:cs="Arial"/>
              </w:rPr>
            </w:pPr>
            <w:r w:rsidRPr="007A6FF3">
              <w:rPr>
                <w:rFonts w:cs="Arial"/>
              </w:rPr>
              <w:t>In 2022, 58.6% of staff, would be happy with the standard of care provided against an NHS Average score: 63.6%.</w:t>
            </w:r>
          </w:p>
          <w:p w14:paraId="4AE4B962" w14:textId="77777777" w:rsidR="007A6FF3" w:rsidRPr="007A6FF3" w:rsidRDefault="007A6FF3" w:rsidP="007A6FF3"/>
        </w:tc>
        <w:tc>
          <w:tcPr>
            <w:tcW w:w="993" w:type="dxa"/>
          </w:tcPr>
          <w:p w14:paraId="43A8AFFB" w14:textId="77777777" w:rsidR="007A6FF3" w:rsidRPr="007A6FF3" w:rsidRDefault="007A6FF3" w:rsidP="007A6FF3">
            <w:pPr>
              <w:rPr>
                <w:b/>
                <w:bCs/>
              </w:rPr>
            </w:pPr>
            <w:r w:rsidRPr="007A6FF3">
              <w:rPr>
                <w:b/>
                <w:bCs/>
              </w:rPr>
              <w:t>Achieving</w:t>
            </w:r>
          </w:p>
          <w:p w14:paraId="3973FFAF" w14:textId="77777777" w:rsidR="007A6FF3" w:rsidRPr="007A6FF3" w:rsidRDefault="007A6FF3" w:rsidP="007A6FF3">
            <w:pPr>
              <w:jc w:val="center"/>
            </w:pPr>
            <w:r w:rsidRPr="007A6FF3">
              <w:rPr>
                <w:b/>
                <w:bCs/>
              </w:rPr>
              <w:t>2</w:t>
            </w:r>
          </w:p>
        </w:tc>
        <w:tc>
          <w:tcPr>
            <w:tcW w:w="1835" w:type="dxa"/>
          </w:tcPr>
          <w:p w14:paraId="3224ABB3" w14:textId="77777777" w:rsidR="007A6FF3" w:rsidRPr="007A6FF3" w:rsidRDefault="007A6FF3" w:rsidP="007A6FF3"/>
        </w:tc>
      </w:tr>
      <w:tr w:rsidR="007A6FF3" w:rsidRPr="007A6FF3" w14:paraId="343B4D84" w14:textId="77777777" w:rsidTr="00761485">
        <w:tc>
          <w:tcPr>
            <w:tcW w:w="10768" w:type="dxa"/>
            <w:gridSpan w:val="3"/>
            <w:shd w:val="clear" w:color="auto" w:fill="BDDEFF"/>
          </w:tcPr>
          <w:p w14:paraId="6114E1BC" w14:textId="77777777" w:rsidR="007A6FF3" w:rsidRPr="00893889" w:rsidRDefault="007A6FF3" w:rsidP="007A6FF3">
            <w:pPr>
              <w:rPr>
                <w:rFonts w:cs="Arial"/>
                <w:b/>
                <w:sz w:val="28"/>
                <w:szCs w:val="28"/>
              </w:rPr>
            </w:pPr>
            <w:r w:rsidRPr="00893889">
              <w:rPr>
                <w:rFonts w:cs="Arial"/>
                <w:b/>
                <w:sz w:val="28"/>
                <w:szCs w:val="28"/>
              </w:rPr>
              <w:t>Domain 2: Workforce health and well-being overall rating</w:t>
            </w:r>
          </w:p>
        </w:tc>
        <w:tc>
          <w:tcPr>
            <w:tcW w:w="993" w:type="dxa"/>
          </w:tcPr>
          <w:p w14:paraId="7924CEAC" w14:textId="77777777" w:rsidR="007A6FF3" w:rsidRPr="00893889" w:rsidRDefault="007A6FF3" w:rsidP="007A6FF3">
            <w:pPr>
              <w:jc w:val="center"/>
              <w:rPr>
                <w:rFonts w:cs="Arial"/>
                <w:b/>
                <w:bCs/>
                <w:sz w:val="28"/>
                <w:szCs w:val="28"/>
              </w:rPr>
            </w:pPr>
            <w:r w:rsidRPr="00893889">
              <w:rPr>
                <w:rFonts w:cs="Arial"/>
                <w:b/>
                <w:bCs/>
                <w:sz w:val="28"/>
                <w:szCs w:val="28"/>
              </w:rPr>
              <w:t>9</w:t>
            </w:r>
          </w:p>
        </w:tc>
        <w:tc>
          <w:tcPr>
            <w:tcW w:w="1835" w:type="dxa"/>
            <w:shd w:val="clear" w:color="auto" w:fill="BDDEFF"/>
          </w:tcPr>
          <w:p w14:paraId="14199379" w14:textId="77777777" w:rsidR="007A6FF3" w:rsidRPr="00893889" w:rsidRDefault="007A6FF3" w:rsidP="007A6FF3">
            <w:pPr>
              <w:rPr>
                <w:rFonts w:cs="Arial"/>
                <w:sz w:val="28"/>
                <w:szCs w:val="28"/>
              </w:rPr>
            </w:pPr>
          </w:p>
        </w:tc>
      </w:tr>
      <w:bookmarkEnd w:id="1"/>
    </w:tbl>
    <w:p w14:paraId="6219A282" w14:textId="77777777" w:rsidR="007A6FF3" w:rsidRPr="007A6FF3" w:rsidRDefault="007A6FF3" w:rsidP="007A6FF3">
      <w:pPr>
        <w:spacing w:after="0" w:line="240" w:lineRule="auto"/>
        <w:rPr>
          <w:rFonts w:ascii="Arial" w:eastAsia="Calibri" w:hAnsi="Arial" w:cs="Arial"/>
          <w:color w:val="231F20"/>
          <w:kern w:val="0"/>
          <w:sz w:val="24"/>
          <w:szCs w:val="24"/>
          <w14:ligatures w14:val="none"/>
        </w:rPr>
      </w:pPr>
    </w:p>
    <w:p w14:paraId="0C7C421A" w14:textId="77777777" w:rsidR="007A6FF3" w:rsidRPr="007A6FF3" w:rsidRDefault="007A6FF3" w:rsidP="007A6FF3">
      <w:pPr>
        <w:spacing w:after="0" w:line="240" w:lineRule="auto"/>
        <w:rPr>
          <w:rFonts w:ascii="Arial" w:eastAsia="Calibri" w:hAnsi="Arial" w:cs="Arial"/>
          <w:color w:val="231F20"/>
          <w:kern w:val="0"/>
          <w:sz w:val="24"/>
          <w:szCs w:val="24"/>
          <w14:ligatures w14:val="none"/>
        </w:rPr>
      </w:pPr>
      <w:r w:rsidRPr="007A6FF3">
        <w:rPr>
          <w:rFonts w:ascii="Arial" w:eastAsia="Calibri" w:hAnsi="Arial" w:cs="Arial"/>
          <w:color w:val="231F20"/>
          <w:kern w:val="0"/>
          <w:sz w:val="24"/>
          <w:szCs w:val="24"/>
          <w14:ligatures w14:val="none"/>
        </w:rPr>
        <w:br w:type="page"/>
      </w:r>
    </w:p>
    <w:p w14:paraId="16009000" w14:textId="77777777" w:rsidR="007A6FF3" w:rsidRPr="00224C7D" w:rsidRDefault="007A6FF3" w:rsidP="007A6FF3">
      <w:pPr>
        <w:keepNext/>
        <w:keepLines/>
        <w:spacing w:before="60" w:after="280" w:line="240" w:lineRule="auto"/>
        <w:outlineLvl w:val="1"/>
        <w:rPr>
          <w:rFonts w:ascii="Arial" w:eastAsia="Times New Roman" w:hAnsi="Arial" w:cs="Times New Roman"/>
          <w:color w:val="005EB8"/>
          <w:kern w:val="0"/>
          <w:sz w:val="28"/>
          <w:szCs w:val="28"/>
          <w14:ligatures w14:val="none"/>
        </w:rPr>
      </w:pPr>
      <w:r w:rsidRPr="00224C7D">
        <w:rPr>
          <w:rFonts w:ascii="Arial" w:eastAsia="Times New Roman" w:hAnsi="Arial" w:cs="Times New Roman"/>
          <w:color w:val="005EB8"/>
          <w:kern w:val="0"/>
          <w:sz w:val="28"/>
          <w:szCs w:val="28"/>
          <w14:ligatures w14:val="none"/>
        </w:rPr>
        <w:lastRenderedPageBreak/>
        <w:t>Domain 3: Inclusive leadership</w:t>
      </w:r>
    </w:p>
    <w:tbl>
      <w:tblPr>
        <w:tblStyle w:val="TableGrid3"/>
        <w:tblW w:w="0" w:type="auto"/>
        <w:tblBorders>
          <w:top w:val="single" w:sz="4" w:space="0" w:color="768692"/>
          <w:left w:val="single" w:sz="4" w:space="0" w:color="768692"/>
          <w:bottom w:val="single" w:sz="4" w:space="0" w:color="768692"/>
          <w:right w:val="single" w:sz="4" w:space="0" w:color="768692"/>
          <w:insideH w:val="single" w:sz="4" w:space="0" w:color="768692"/>
          <w:insideV w:val="single" w:sz="4" w:space="0" w:color="768692"/>
        </w:tblBorders>
        <w:tblCellMar>
          <w:top w:w="62" w:type="dxa"/>
          <w:left w:w="62" w:type="dxa"/>
          <w:bottom w:w="62" w:type="dxa"/>
          <w:right w:w="62" w:type="dxa"/>
        </w:tblCellMar>
        <w:tblLook w:val="04A0" w:firstRow="1" w:lastRow="0" w:firstColumn="1" w:lastColumn="0" w:noHBand="0" w:noVBand="1"/>
      </w:tblPr>
      <w:tblGrid>
        <w:gridCol w:w="1095"/>
        <w:gridCol w:w="4090"/>
        <w:gridCol w:w="5047"/>
        <w:gridCol w:w="1271"/>
        <w:gridCol w:w="2445"/>
      </w:tblGrid>
      <w:tr w:rsidR="007A6FF3" w:rsidRPr="007A6FF3" w14:paraId="5BFA4528" w14:textId="77777777" w:rsidTr="00E35E51">
        <w:trPr>
          <w:trHeight w:val="364"/>
        </w:trPr>
        <w:tc>
          <w:tcPr>
            <w:tcW w:w="1095" w:type="dxa"/>
            <w:shd w:val="clear" w:color="auto" w:fill="BDDEFF"/>
          </w:tcPr>
          <w:p w14:paraId="2EA11E74" w14:textId="77777777" w:rsidR="007A6FF3" w:rsidRPr="007A6FF3" w:rsidRDefault="007A6FF3" w:rsidP="007A6FF3">
            <w:pPr>
              <w:spacing w:afterLines="60" w:after="144"/>
              <w:rPr>
                <w:rFonts w:cs="Arial"/>
                <w:b/>
              </w:rPr>
            </w:pPr>
            <w:r w:rsidRPr="007A6FF3">
              <w:rPr>
                <w:rFonts w:cs="Arial"/>
                <w:b/>
              </w:rPr>
              <w:t>Domain</w:t>
            </w:r>
          </w:p>
        </w:tc>
        <w:tc>
          <w:tcPr>
            <w:tcW w:w="4090" w:type="dxa"/>
            <w:shd w:val="clear" w:color="auto" w:fill="BDDEFF"/>
          </w:tcPr>
          <w:p w14:paraId="761A026F" w14:textId="77777777" w:rsidR="007A6FF3" w:rsidRPr="007A6FF3" w:rsidRDefault="007A6FF3" w:rsidP="007A6FF3">
            <w:pPr>
              <w:spacing w:afterLines="60" w:after="144"/>
              <w:rPr>
                <w:rFonts w:cs="Arial"/>
                <w:b/>
              </w:rPr>
            </w:pPr>
            <w:r w:rsidRPr="007A6FF3">
              <w:rPr>
                <w:rFonts w:cs="Arial"/>
                <w:b/>
              </w:rPr>
              <w:t>Outcome</w:t>
            </w:r>
          </w:p>
        </w:tc>
        <w:tc>
          <w:tcPr>
            <w:tcW w:w="5047" w:type="dxa"/>
            <w:shd w:val="clear" w:color="auto" w:fill="BDDEFF"/>
          </w:tcPr>
          <w:p w14:paraId="5EDC424D" w14:textId="77777777" w:rsidR="007A6FF3" w:rsidRPr="007A6FF3" w:rsidRDefault="007A6FF3" w:rsidP="007A6FF3">
            <w:pPr>
              <w:spacing w:afterLines="60" w:after="144"/>
              <w:rPr>
                <w:rFonts w:cs="Arial"/>
                <w:b/>
              </w:rPr>
            </w:pPr>
            <w:r w:rsidRPr="007A6FF3">
              <w:rPr>
                <w:rFonts w:cs="Arial"/>
                <w:b/>
              </w:rPr>
              <w:t xml:space="preserve">Evidence </w:t>
            </w:r>
          </w:p>
        </w:tc>
        <w:tc>
          <w:tcPr>
            <w:tcW w:w="1271" w:type="dxa"/>
            <w:shd w:val="clear" w:color="auto" w:fill="BDDEFF"/>
          </w:tcPr>
          <w:p w14:paraId="42E8660E" w14:textId="77777777" w:rsidR="007A6FF3" w:rsidRPr="007A6FF3" w:rsidRDefault="007A6FF3" w:rsidP="007A6FF3">
            <w:pPr>
              <w:spacing w:afterLines="60" w:after="144"/>
              <w:rPr>
                <w:rFonts w:cs="Arial"/>
                <w:b/>
              </w:rPr>
            </w:pPr>
            <w:r w:rsidRPr="007A6FF3">
              <w:rPr>
                <w:rFonts w:cs="Arial"/>
                <w:b/>
              </w:rPr>
              <w:t>Rating</w:t>
            </w:r>
          </w:p>
        </w:tc>
        <w:tc>
          <w:tcPr>
            <w:tcW w:w="2445" w:type="dxa"/>
            <w:shd w:val="clear" w:color="auto" w:fill="BDDEFF"/>
          </w:tcPr>
          <w:p w14:paraId="1969CC6C" w14:textId="77777777" w:rsidR="007A6FF3" w:rsidRDefault="007A6FF3" w:rsidP="007A6FF3">
            <w:pPr>
              <w:spacing w:afterLines="60" w:after="144"/>
              <w:rPr>
                <w:rFonts w:cs="Arial"/>
                <w:b/>
              </w:rPr>
            </w:pPr>
            <w:r w:rsidRPr="007A6FF3">
              <w:rPr>
                <w:rFonts w:cs="Arial"/>
                <w:b/>
              </w:rPr>
              <w:t>Owner (Dept/Lead)</w:t>
            </w:r>
          </w:p>
          <w:p w14:paraId="044C4D5C" w14:textId="77777777" w:rsidR="00224C7D" w:rsidRDefault="00224C7D" w:rsidP="007A6FF3">
            <w:pPr>
              <w:spacing w:afterLines="60" w:after="144"/>
              <w:rPr>
                <w:rFonts w:cs="Arial"/>
                <w:b/>
              </w:rPr>
            </w:pPr>
          </w:p>
          <w:p w14:paraId="689FF802" w14:textId="77777777" w:rsidR="00224C7D" w:rsidRPr="007A6FF3" w:rsidRDefault="00224C7D" w:rsidP="007A6FF3">
            <w:pPr>
              <w:spacing w:afterLines="60" w:after="144"/>
              <w:rPr>
                <w:rFonts w:cs="Arial"/>
                <w:b/>
              </w:rPr>
            </w:pPr>
          </w:p>
        </w:tc>
      </w:tr>
      <w:tr w:rsidR="007A6FF3" w:rsidRPr="007A6FF3" w14:paraId="602FB027" w14:textId="77777777" w:rsidTr="00E35E51">
        <w:trPr>
          <w:cantSplit/>
          <w:trHeight w:val="1632"/>
        </w:trPr>
        <w:tc>
          <w:tcPr>
            <w:tcW w:w="1095" w:type="dxa"/>
            <w:vMerge w:val="restart"/>
            <w:shd w:val="clear" w:color="auto" w:fill="BDDEFF"/>
            <w:textDirection w:val="btLr"/>
            <w:vAlign w:val="center"/>
          </w:tcPr>
          <w:p w14:paraId="2B3C06F8" w14:textId="77777777" w:rsidR="007A6FF3" w:rsidRPr="007A6FF3" w:rsidRDefault="007A6FF3" w:rsidP="007A6FF3">
            <w:pPr>
              <w:jc w:val="center"/>
              <w:rPr>
                <w:rFonts w:cs="Arial"/>
                <w:b/>
                <w:i/>
              </w:rPr>
            </w:pPr>
            <w:r w:rsidRPr="007A6FF3">
              <w:rPr>
                <w:rFonts w:cs="Arial"/>
                <w:b/>
                <w:i/>
              </w:rPr>
              <w:lastRenderedPageBreak/>
              <w:t>in 3:</w:t>
            </w:r>
          </w:p>
          <w:p w14:paraId="38E4201A" w14:textId="77777777" w:rsidR="007A6FF3" w:rsidRPr="007A6FF3" w:rsidRDefault="007A6FF3" w:rsidP="007A6FF3">
            <w:pPr>
              <w:jc w:val="center"/>
              <w:rPr>
                <w:rFonts w:cs="Arial"/>
                <w:b/>
                <w:i/>
              </w:rPr>
            </w:pPr>
            <w:r w:rsidRPr="007A6FF3">
              <w:rPr>
                <w:rFonts w:cs="Arial"/>
                <w:b/>
                <w:i/>
              </w:rPr>
              <w:t xml:space="preserve"> Inclusive leadership</w:t>
            </w:r>
          </w:p>
          <w:p w14:paraId="22B04E47" w14:textId="77777777" w:rsidR="007A6FF3" w:rsidRPr="007A6FF3" w:rsidRDefault="007A6FF3" w:rsidP="007A6FF3">
            <w:pPr>
              <w:jc w:val="center"/>
              <w:rPr>
                <w:rFonts w:cs="Arial"/>
              </w:rPr>
            </w:pPr>
          </w:p>
        </w:tc>
        <w:tc>
          <w:tcPr>
            <w:tcW w:w="4090" w:type="dxa"/>
            <w:shd w:val="clear" w:color="auto" w:fill="BDDEFF"/>
          </w:tcPr>
          <w:p w14:paraId="60B7C28C" w14:textId="77777777" w:rsidR="007A6FF3" w:rsidRPr="007A6FF3" w:rsidRDefault="007A6FF3" w:rsidP="007A6FF3">
            <w:pPr>
              <w:rPr>
                <w:rFonts w:cs="Arial"/>
              </w:rPr>
            </w:pPr>
            <w:r w:rsidRPr="007A6FF3">
              <w:rPr>
                <w:rFonts w:cs="Arial"/>
              </w:rPr>
              <w:t>3A: Board members, system leaders (Band 9 and VSM) and those with line management responsibilities routinely demonstrate their understanding of, and commitment to, equality and health inequalities</w:t>
            </w:r>
          </w:p>
        </w:tc>
        <w:tc>
          <w:tcPr>
            <w:tcW w:w="5047" w:type="dxa"/>
          </w:tcPr>
          <w:p w14:paraId="04AF5D03" w14:textId="77777777" w:rsidR="007A6FF3" w:rsidRPr="007A6FF3" w:rsidRDefault="007A6FF3" w:rsidP="007A6FF3">
            <w:pPr>
              <w:numPr>
                <w:ilvl w:val="0"/>
                <w:numId w:val="5"/>
              </w:numPr>
              <w:autoSpaceDE w:val="0"/>
              <w:autoSpaceDN w:val="0"/>
              <w:adjustRightInd w:val="0"/>
              <w:rPr>
                <w:rFonts w:cs="Arial"/>
                <w:color w:val="000000"/>
              </w:rPr>
            </w:pPr>
            <w:r w:rsidRPr="007A6FF3">
              <w:rPr>
                <w:rFonts w:cs="Arial"/>
                <w:color w:val="000000"/>
              </w:rPr>
              <w:t xml:space="preserve">Equality and health inequalities are regular agenda items and the implications of all decisions on equality are discussed in Board and committee meetings. These are Workforce Committee, Mental Health Legislation Committee, Quality Committee and Finance and Performance Committee.  </w:t>
            </w:r>
          </w:p>
          <w:p w14:paraId="569001FF" w14:textId="77777777" w:rsidR="007A6FF3" w:rsidRPr="007A6FF3" w:rsidRDefault="007A6FF3" w:rsidP="007A6FF3">
            <w:pPr>
              <w:numPr>
                <w:ilvl w:val="0"/>
                <w:numId w:val="3"/>
              </w:numPr>
              <w:spacing w:after="200" w:line="256" w:lineRule="auto"/>
              <w:contextualSpacing/>
            </w:pPr>
            <w:r w:rsidRPr="007A6FF3">
              <w:t>The Executive sponsors for the networks meet the chairs and attend the network on a regular basis. All staff networks have an Executive sponsor.</w:t>
            </w:r>
          </w:p>
          <w:p w14:paraId="6DA97F88" w14:textId="77777777" w:rsidR="007A6FF3" w:rsidRPr="007A6FF3" w:rsidRDefault="007A6FF3" w:rsidP="007A6FF3">
            <w:pPr>
              <w:numPr>
                <w:ilvl w:val="0"/>
                <w:numId w:val="3"/>
              </w:numPr>
              <w:spacing w:after="200" w:line="256" w:lineRule="auto"/>
              <w:contextualSpacing/>
            </w:pPr>
            <w:r w:rsidRPr="007A6FF3">
              <w:t xml:space="preserve">Board members hold services to account, allocate resources, and raise issues relating to equality and health inequalities on a regular basis, as identified with the annual equality report, strategic </w:t>
            </w:r>
            <w:proofErr w:type="gramStart"/>
            <w:r w:rsidRPr="007A6FF3">
              <w:t>discussions</w:t>
            </w:r>
            <w:proofErr w:type="gramEnd"/>
            <w:r w:rsidRPr="007A6FF3">
              <w:t xml:space="preserve"> and Board development days.  </w:t>
            </w:r>
          </w:p>
          <w:p w14:paraId="1A8E73D4" w14:textId="77777777" w:rsidR="007A6FF3" w:rsidRPr="007A6FF3" w:rsidRDefault="007A6FF3" w:rsidP="007A6FF3">
            <w:pPr>
              <w:numPr>
                <w:ilvl w:val="0"/>
                <w:numId w:val="3"/>
              </w:numPr>
              <w:spacing w:after="200" w:line="256" w:lineRule="auto"/>
              <w:contextualSpacing/>
              <w:rPr>
                <w:rFonts w:cs="Arial"/>
              </w:rPr>
            </w:pPr>
            <w:r w:rsidRPr="007A6FF3">
              <w:t xml:space="preserve">The </w:t>
            </w:r>
            <w:r w:rsidRPr="007A6FF3">
              <w:rPr>
                <w:rFonts w:cs="Arial"/>
              </w:rPr>
              <w:t xml:space="preserve">CEO leads a Trustwide Community of practice EDI </w:t>
            </w:r>
            <w:proofErr w:type="gramStart"/>
            <w:r w:rsidRPr="007A6FF3">
              <w:rPr>
                <w:rFonts w:cs="Arial"/>
              </w:rPr>
              <w:t>group</w:t>
            </w:r>
            <w:proofErr w:type="gramEnd"/>
          </w:p>
          <w:p w14:paraId="65FE4363" w14:textId="77777777" w:rsidR="007A6FF3" w:rsidRPr="007A6FF3" w:rsidRDefault="007A6FF3" w:rsidP="007A6FF3">
            <w:pPr>
              <w:numPr>
                <w:ilvl w:val="0"/>
                <w:numId w:val="3"/>
              </w:numPr>
              <w:spacing w:after="200" w:line="256" w:lineRule="auto"/>
              <w:contextualSpacing/>
              <w:rPr>
                <w:rFonts w:cs="Arial"/>
              </w:rPr>
            </w:pPr>
            <w:r w:rsidRPr="007A6FF3">
              <w:rPr>
                <w:rFonts w:cs="Arial"/>
              </w:rPr>
              <w:t>The Board led and participated in the first Trustwide Reciprocal Mentoring programme.</w:t>
            </w:r>
          </w:p>
          <w:p w14:paraId="666C0FB8" w14:textId="77777777" w:rsidR="007A6FF3" w:rsidRPr="007A6FF3" w:rsidRDefault="007A6FF3" w:rsidP="007A6FF3">
            <w:pPr>
              <w:numPr>
                <w:ilvl w:val="0"/>
                <w:numId w:val="3"/>
              </w:numPr>
              <w:spacing w:after="200" w:line="256" w:lineRule="auto"/>
              <w:contextualSpacing/>
              <w:rPr>
                <w:rFonts w:cs="Arial"/>
              </w:rPr>
            </w:pPr>
            <w:r w:rsidRPr="007A6FF3">
              <w:rPr>
                <w:rFonts w:cs="Arial"/>
              </w:rPr>
              <w:t xml:space="preserve">Leading Trustwide pledges to EDI initiatives, such as Allyship, Root out Racism.  </w:t>
            </w:r>
          </w:p>
          <w:p w14:paraId="5AA3EF1E" w14:textId="77777777" w:rsidR="007A6FF3" w:rsidRPr="007A6FF3" w:rsidRDefault="007A6FF3" w:rsidP="007A6FF3">
            <w:pPr>
              <w:numPr>
                <w:ilvl w:val="0"/>
                <w:numId w:val="3"/>
              </w:numPr>
              <w:spacing w:after="200" w:line="256" w:lineRule="auto"/>
              <w:contextualSpacing/>
              <w:rPr>
                <w:rFonts w:cs="Arial"/>
              </w:rPr>
            </w:pPr>
            <w:r w:rsidRPr="007A6FF3">
              <w:rPr>
                <w:rFonts w:cs="Arial"/>
              </w:rPr>
              <w:t xml:space="preserve">Every member of the Board has an equality/health Inequality objective in their PDR. </w:t>
            </w:r>
          </w:p>
        </w:tc>
        <w:tc>
          <w:tcPr>
            <w:tcW w:w="1271" w:type="dxa"/>
          </w:tcPr>
          <w:p w14:paraId="5E19339A" w14:textId="77777777" w:rsidR="007A6FF3" w:rsidRPr="007A6FF3" w:rsidRDefault="007A6FF3" w:rsidP="007A6FF3">
            <w:pPr>
              <w:jc w:val="center"/>
              <w:rPr>
                <w:rFonts w:cs="Arial"/>
                <w:b/>
                <w:bCs/>
              </w:rPr>
            </w:pPr>
            <w:r w:rsidRPr="007A6FF3">
              <w:rPr>
                <w:rFonts w:cs="Arial"/>
                <w:b/>
                <w:bCs/>
              </w:rPr>
              <w:t>Achieving 2</w:t>
            </w:r>
          </w:p>
          <w:p w14:paraId="07DD95C2" w14:textId="77777777" w:rsidR="007A6FF3" w:rsidRPr="007A6FF3" w:rsidRDefault="007A6FF3" w:rsidP="007A6FF3">
            <w:pPr>
              <w:rPr>
                <w:rFonts w:cs="Arial"/>
              </w:rPr>
            </w:pPr>
          </w:p>
          <w:p w14:paraId="5AC6DBC9" w14:textId="77777777" w:rsidR="007A6FF3" w:rsidRPr="007A6FF3" w:rsidRDefault="007A6FF3" w:rsidP="007A6FF3">
            <w:pPr>
              <w:rPr>
                <w:rFonts w:cs="Arial"/>
              </w:rPr>
            </w:pPr>
          </w:p>
          <w:p w14:paraId="19EAA396" w14:textId="77777777" w:rsidR="007A6FF3" w:rsidRPr="007A6FF3" w:rsidRDefault="007A6FF3" w:rsidP="007A6FF3">
            <w:pPr>
              <w:rPr>
                <w:rFonts w:cs="Arial"/>
              </w:rPr>
            </w:pPr>
          </w:p>
        </w:tc>
        <w:tc>
          <w:tcPr>
            <w:tcW w:w="2445" w:type="dxa"/>
          </w:tcPr>
          <w:p w14:paraId="599264BE" w14:textId="77777777" w:rsidR="007A6FF3" w:rsidRPr="007A6FF3" w:rsidRDefault="007A6FF3" w:rsidP="007A6FF3">
            <w:pPr>
              <w:rPr>
                <w:rFonts w:cs="Arial"/>
                <w:b/>
                <w:bCs/>
              </w:rPr>
            </w:pPr>
            <w:r w:rsidRPr="007A6FF3">
              <w:rPr>
                <w:rFonts w:cs="Arial"/>
                <w:b/>
                <w:bCs/>
              </w:rPr>
              <w:t xml:space="preserve">Executive Board </w:t>
            </w:r>
          </w:p>
        </w:tc>
      </w:tr>
      <w:tr w:rsidR="007A6FF3" w:rsidRPr="007A6FF3" w14:paraId="38FF7D92" w14:textId="77777777" w:rsidTr="00E35E51">
        <w:trPr>
          <w:cantSplit/>
          <w:trHeight w:val="1393"/>
        </w:trPr>
        <w:tc>
          <w:tcPr>
            <w:tcW w:w="1095" w:type="dxa"/>
            <w:vMerge/>
            <w:shd w:val="clear" w:color="auto" w:fill="BDDEFF"/>
          </w:tcPr>
          <w:p w14:paraId="2085ADEC" w14:textId="77777777" w:rsidR="007A6FF3" w:rsidRPr="007A6FF3" w:rsidRDefault="007A6FF3" w:rsidP="007A6FF3">
            <w:pPr>
              <w:rPr>
                <w:rFonts w:cs="Arial"/>
              </w:rPr>
            </w:pPr>
          </w:p>
        </w:tc>
        <w:tc>
          <w:tcPr>
            <w:tcW w:w="4090" w:type="dxa"/>
            <w:shd w:val="clear" w:color="auto" w:fill="BDDEFF"/>
          </w:tcPr>
          <w:p w14:paraId="436E03D6" w14:textId="77777777" w:rsidR="007A6FF3" w:rsidRPr="007A6FF3" w:rsidRDefault="007A6FF3" w:rsidP="007A6FF3">
            <w:pPr>
              <w:rPr>
                <w:rFonts w:cs="Arial"/>
              </w:rPr>
            </w:pPr>
            <w:r w:rsidRPr="007A6FF3">
              <w:rPr>
                <w:rFonts w:cs="Arial"/>
              </w:rPr>
              <w:t>3B: Board/Committee papers (including minutes) identify equality and health inequalities related impacts and risks and how they will be mitigated and managed</w:t>
            </w:r>
          </w:p>
        </w:tc>
        <w:tc>
          <w:tcPr>
            <w:tcW w:w="5047" w:type="dxa"/>
          </w:tcPr>
          <w:p w14:paraId="6E95FF0F" w14:textId="77777777" w:rsidR="007A6FF3" w:rsidRPr="007A6FF3" w:rsidRDefault="007A6FF3" w:rsidP="007A6FF3">
            <w:pPr>
              <w:numPr>
                <w:ilvl w:val="0"/>
                <w:numId w:val="9"/>
              </w:numPr>
              <w:autoSpaceDE w:val="0"/>
              <w:autoSpaceDN w:val="0"/>
              <w:adjustRightInd w:val="0"/>
              <w:rPr>
                <w:rFonts w:cs="Arial"/>
                <w:color w:val="000000"/>
              </w:rPr>
            </w:pPr>
            <w:r w:rsidRPr="007A6FF3">
              <w:rPr>
                <w:rFonts w:cs="Arial"/>
                <w:color w:val="000000"/>
              </w:rPr>
              <w:t xml:space="preserve">Equality and health inequalities are standing agenda items in the committee meetings and discussed at Board level.   </w:t>
            </w:r>
          </w:p>
          <w:p w14:paraId="0B66C5E2" w14:textId="77777777" w:rsidR="007A6FF3" w:rsidRPr="007A6FF3" w:rsidRDefault="007A6FF3" w:rsidP="007A6FF3">
            <w:pPr>
              <w:numPr>
                <w:ilvl w:val="0"/>
                <w:numId w:val="9"/>
              </w:numPr>
              <w:autoSpaceDE w:val="0"/>
              <w:autoSpaceDN w:val="0"/>
              <w:adjustRightInd w:val="0"/>
              <w:rPr>
                <w:rFonts w:cs="Arial"/>
                <w:color w:val="000000"/>
              </w:rPr>
            </w:pPr>
            <w:r w:rsidRPr="007A6FF3">
              <w:rPr>
                <w:rFonts w:cs="Arial"/>
                <w:color w:val="000000"/>
              </w:rPr>
              <w:t xml:space="preserve">Equality and health inequalities impact assessments are completed for all projects and policies and are signed off at the appropriate level where required. </w:t>
            </w:r>
          </w:p>
          <w:p w14:paraId="00C22414" w14:textId="77777777" w:rsidR="007A6FF3" w:rsidRPr="007A6FF3" w:rsidRDefault="007A6FF3" w:rsidP="007A6FF3">
            <w:pPr>
              <w:numPr>
                <w:ilvl w:val="0"/>
                <w:numId w:val="9"/>
              </w:numPr>
              <w:autoSpaceDE w:val="0"/>
              <w:autoSpaceDN w:val="0"/>
              <w:adjustRightInd w:val="0"/>
              <w:rPr>
                <w:rFonts w:cs="Arial"/>
                <w:color w:val="000000"/>
              </w:rPr>
            </w:pPr>
            <w:r w:rsidRPr="007A6FF3">
              <w:rPr>
                <w:rFonts w:cs="Arial"/>
                <w:color w:val="000000"/>
              </w:rPr>
              <w:t xml:space="preserve">Staff risk assessments, specific to those with protected characteristics, are completed and monitored, where relevant. </w:t>
            </w:r>
          </w:p>
          <w:p w14:paraId="32EED6DA" w14:textId="77777777" w:rsidR="007A6FF3" w:rsidRPr="007A6FF3" w:rsidRDefault="007A6FF3" w:rsidP="007A6FF3">
            <w:pPr>
              <w:numPr>
                <w:ilvl w:val="0"/>
                <w:numId w:val="9"/>
              </w:numPr>
              <w:autoSpaceDE w:val="0"/>
              <w:autoSpaceDN w:val="0"/>
              <w:adjustRightInd w:val="0"/>
              <w:rPr>
                <w:rFonts w:cs="Arial"/>
                <w:color w:val="000000"/>
              </w:rPr>
            </w:pPr>
            <w:r w:rsidRPr="007A6FF3">
              <w:rPr>
                <w:rFonts w:cs="Arial"/>
                <w:color w:val="000000"/>
              </w:rPr>
              <w:t xml:space="preserve">Required actions and interventions are measured and monitored. The WRES and WDES are used to develop approaches and build strategies. </w:t>
            </w:r>
          </w:p>
          <w:p w14:paraId="0FB53CE5" w14:textId="77777777" w:rsidR="007A6FF3" w:rsidRPr="007A6FF3" w:rsidRDefault="007A6FF3" w:rsidP="007A6FF3">
            <w:pPr>
              <w:numPr>
                <w:ilvl w:val="0"/>
                <w:numId w:val="9"/>
              </w:numPr>
              <w:spacing w:after="200" w:line="256" w:lineRule="auto"/>
              <w:contextualSpacing/>
              <w:rPr>
                <w:rFonts w:cs="Arial"/>
              </w:rPr>
            </w:pPr>
            <w:r w:rsidRPr="007A6FF3">
              <w:t>Equality and health inequalities are reflected in the organisational business plans to help shape work to address needs.</w:t>
            </w:r>
          </w:p>
          <w:p w14:paraId="36EDD80C" w14:textId="77777777" w:rsidR="007A6FF3" w:rsidRPr="007A6FF3" w:rsidRDefault="007A6FF3" w:rsidP="007A6FF3">
            <w:pPr>
              <w:numPr>
                <w:ilvl w:val="0"/>
                <w:numId w:val="9"/>
              </w:numPr>
              <w:spacing w:after="200" w:line="256" w:lineRule="auto"/>
              <w:contextualSpacing/>
              <w:rPr>
                <w:rFonts w:cs="Arial"/>
              </w:rPr>
            </w:pPr>
            <w:r w:rsidRPr="007A6FF3">
              <w:rPr>
                <w:rFonts w:cs="Arial"/>
              </w:rPr>
              <w:t>Any impact on those with protected characteristics are identified on every paper at every committee and Board.</w:t>
            </w:r>
          </w:p>
          <w:p w14:paraId="5D86250E" w14:textId="77777777" w:rsidR="007A6FF3" w:rsidRPr="007A6FF3" w:rsidRDefault="007A6FF3" w:rsidP="007A6FF3">
            <w:pPr>
              <w:rPr>
                <w:rFonts w:cs="Arial"/>
              </w:rPr>
            </w:pPr>
          </w:p>
        </w:tc>
        <w:tc>
          <w:tcPr>
            <w:tcW w:w="1271" w:type="dxa"/>
          </w:tcPr>
          <w:p w14:paraId="7E486066" w14:textId="77777777" w:rsidR="007A6FF3" w:rsidRPr="007A6FF3" w:rsidRDefault="007A6FF3" w:rsidP="007A6FF3">
            <w:pPr>
              <w:rPr>
                <w:rFonts w:cs="Arial"/>
                <w:b/>
                <w:bCs/>
              </w:rPr>
            </w:pPr>
            <w:r w:rsidRPr="007A6FF3">
              <w:rPr>
                <w:rFonts w:cs="Arial"/>
                <w:b/>
                <w:bCs/>
              </w:rPr>
              <w:t>Excelling</w:t>
            </w:r>
          </w:p>
          <w:p w14:paraId="39A732D9" w14:textId="77777777" w:rsidR="007A6FF3" w:rsidRPr="007A6FF3" w:rsidRDefault="007A6FF3" w:rsidP="007A6FF3">
            <w:pPr>
              <w:jc w:val="center"/>
              <w:rPr>
                <w:rFonts w:cs="Arial"/>
              </w:rPr>
            </w:pPr>
            <w:r w:rsidRPr="007A6FF3">
              <w:rPr>
                <w:rFonts w:cs="Arial"/>
                <w:b/>
                <w:bCs/>
              </w:rPr>
              <w:t>3</w:t>
            </w:r>
          </w:p>
        </w:tc>
        <w:tc>
          <w:tcPr>
            <w:tcW w:w="2445" w:type="dxa"/>
          </w:tcPr>
          <w:p w14:paraId="5E568A2B" w14:textId="77777777" w:rsidR="007A6FF3" w:rsidRPr="007A6FF3" w:rsidRDefault="007A6FF3" w:rsidP="007A6FF3">
            <w:pPr>
              <w:rPr>
                <w:rFonts w:cs="Arial"/>
                <w:b/>
                <w:bCs/>
              </w:rPr>
            </w:pPr>
            <w:r w:rsidRPr="007A6FF3">
              <w:rPr>
                <w:rFonts w:cs="Arial"/>
                <w:b/>
                <w:bCs/>
              </w:rPr>
              <w:t>Executive Board</w:t>
            </w:r>
          </w:p>
        </w:tc>
      </w:tr>
      <w:tr w:rsidR="007A6FF3" w:rsidRPr="007A6FF3" w14:paraId="389E60E2" w14:textId="77777777" w:rsidTr="00E35E51">
        <w:trPr>
          <w:cantSplit/>
          <w:trHeight w:val="1474"/>
        </w:trPr>
        <w:tc>
          <w:tcPr>
            <w:tcW w:w="1095" w:type="dxa"/>
            <w:vMerge/>
            <w:shd w:val="clear" w:color="auto" w:fill="BDDEFF"/>
          </w:tcPr>
          <w:p w14:paraId="3C811DBC" w14:textId="77777777" w:rsidR="007A6FF3" w:rsidRPr="007A6FF3" w:rsidRDefault="007A6FF3" w:rsidP="007A6FF3">
            <w:pPr>
              <w:rPr>
                <w:rFonts w:cs="Arial"/>
              </w:rPr>
            </w:pPr>
          </w:p>
        </w:tc>
        <w:tc>
          <w:tcPr>
            <w:tcW w:w="4090" w:type="dxa"/>
            <w:shd w:val="clear" w:color="auto" w:fill="BDDEFF"/>
          </w:tcPr>
          <w:p w14:paraId="405E8B04" w14:textId="77777777" w:rsidR="007A6FF3" w:rsidRPr="007A6FF3" w:rsidRDefault="007A6FF3" w:rsidP="007A6FF3">
            <w:pPr>
              <w:rPr>
                <w:rFonts w:cs="Arial"/>
              </w:rPr>
            </w:pPr>
            <w:r w:rsidRPr="007A6FF3">
              <w:rPr>
                <w:rFonts w:cs="Arial"/>
              </w:rPr>
              <w:t>3C: Board members and system leaders (Band 9 and VSM) ensure levers are in place to manage performance and monitor progress with staff and patients</w:t>
            </w:r>
          </w:p>
        </w:tc>
        <w:tc>
          <w:tcPr>
            <w:tcW w:w="5047" w:type="dxa"/>
          </w:tcPr>
          <w:p w14:paraId="0607EA81" w14:textId="77777777" w:rsidR="007A6FF3" w:rsidRPr="007A6FF3" w:rsidRDefault="007A6FF3" w:rsidP="007A6FF3">
            <w:pPr>
              <w:numPr>
                <w:ilvl w:val="0"/>
                <w:numId w:val="10"/>
              </w:numPr>
              <w:autoSpaceDE w:val="0"/>
              <w:autoSpaceDN w:val="0"/>
              <w:adjustRightInd w:val="0"/>
              <w:rPr>
                <w:rFonts w:cs="Arial"/>
                <w:color w:val="000000"/>
              </w:rPr>
            </w:pPr>
            <w:r w:rsidRPr="007A6FF3">
              <w:rPr>
                <w:rFonts w:cs="Arial"/>
                <w:color w:val="000000"/>
              </w:rPr>
              <w:t xml:space="preserve">There is a </w:t>
            </w:r>
            <w:proofErr w:type="gramStart"/>
            <w:r w:rsidRPr="007A6FF3">
              <w:rPr>
                <w:rFonts w:cs="Arial"/>
                <w:color w:val="000000"/>
              </w:rPr>
              <w:t>year on year</w:t>
            </w:r>
            <w:proofErr w:type="gramEnd"/>
            <w:r w:rsidRPr="007A6FF3">
              <w:rPr>
                <w:rFonts w:cs="Arial"/>
                <w:color w:val="000000"/>
              </w:rPr>
              <w:t xml:space="preserve"> improvement using Gender Pay Gap reporting, WRES and WDES. </w:t>
            </w:r>
          </w:p>
          <w:p w14:paraId="78BC065D" w14:textId="77777777" w:rsidR="007A6FF3" w:rsidRPr="007A6FF3" w:rsidRDefault="007A6FF3" w:rsidP="007A6FF3">
            <w:pPr>
              <w:numPr>
                <w:ilvl w:val="0"/>
                <w:numId w:val="10"/>
              </w:numPr>
              <w:autoSpaceDE w:val="0"/>
              <w:autoSpaceDN w:val="0"/>
              <w:adjustRightInd w:val="0"/>
              <w:rPr>
                <w:rFonts w:cs="Arial"/>
                <w:color w:val="000000"/>
              </w:rPr>
            </w:pPr>
            <w:r w:rsidRPr="007A6FF3">
              <w:rPr>
                <w:rFonts w:cs="Arial"/>
                <w:color w:val="000000"/>
              </w:rPr>
              <w:t xml:space="preserve">Board members monitor the implementation and impact of actions required and raised by the below tools: WRES, WDES, Gender Pay Gap reporting, end of employment exit interviews, PCREF (Mental Health), EDS 2022, partnership working – Place Based Approaches. </w:t>
            </w:r>
          </w:p>
          <w:p w14:paraId="604D2421" w14:textId="77777777" w:rsidR="007A6FF3" w:rsidRPr="007A6FF3" w:rsidRDefault="007A6FF3" w:rsidP="00224C7D">
            <w:pPr>
              <w:numPr>
                <w:ilvl w:val="0"/>
                <w:numId w:val="11"/>
              </w:numPr>
              <w:spacing w:after="200" w:line="256" w:lineRule="auto"/>
              <w:contextualSpacing/>
              <w:rPr>
                <w:rFonts w:cs="Arial"/>
              </w:rPr>
            </w:pPr>
            <w:r w:rsidRPr="007A6FF3">
              <w:rPr>
                <w:rFonts w:cs="Arial"/>
              </w:rPr>
              <w:t>Patient/front line stories at Board</w:t>
            </w:r>
          </w:p>
          <w:p w14:paraId="0A6FFA0E" w14:textId="77777777" w:rsidR="007A6FF3" w:rsidRPr="007A6FF3" w:rsidRDefault="007A6FF3" w:rsidP="00224C7D">
            <w:pPr>
              <w:numPr>
                <w:ilvl w:val="0"/>
                <w:numId w:val="11"/>
              </w:numPr>
              <w:spacing w:after="200" w:line="256" w:lineRule="auto"/>
              <w:contextualSpacing/>
              <w:rPr>
                <w:rFonts w:cs="Arial"/>
              </w:rPr>
            </w:pPr>
            <w:r w:rsidRPr="007A6FF3">
              <w:rPr>
                <w:rFonts w:cs="Arial"/>
              </w:rPr>
              <w:t>Trust Board members visits to services.</w:t>
            </w:r>
          </w:p>
          <w:p w14:paraId="04D8AC6D" w14:textId="77777777" w:rsidR="007A6FF3" w:rsidRPr="007A6FF3" w:rsidRDefault="007A6FF3" w:rsidP="00224C7D">
            <w:pPr>
              <w:numPr>
                <w:ilvl w:val="0"/>
                <w:numId w:val="11"/>
              </w:numPr>
              <w:spacing w:after="200" w:line="256" w:lineRule="auto"/>
              <w:contextualSpacing/>
              <w:rPr>
                <w:rFonts w:cs="Arial"/>
              </w:rPr>
            </w:pPr>
            <w:r w:rsidRPr="007A6FF3">
              <w:rPr>
                <w:rFonts w:cs="Arial"/>
              </w:rPr>
              <w:t>Staff Networks at the Board meeting/workshop.</w:t>
            </w:r>
          </w:p>
          <w:p w14:paraId="075B9410" w14:textId="77777777" w:rsidR="007A6FF3" w:rsidRPr="007A6FF3" w:rsidRDefault="007A6FF3" w:rsidP="00224C7D">
            <w:pPr>
              <w:numPr>
                <w:ilvl w:val="0"/>
                <w:numId w:val="11"/>
              </w:numPr>
              <w:spacing w:after="200" w:line="256" w:lineRule="auto"/>
              <w:contextualSpacing/>
              <w:rPr>
                <w:rFonts w:cs="Arial"/>
              </w:rPr>
            </w:pPr>
            <w:r w:rsidRPr="007A6FF3">
              <w:rPr>
                <w:rFonts w:cs="Arial"/>
              </w:rPr>
              <w:t>Patient and service user attendance at Trust Board meetings and workshop.</w:t>
            </w:r>
          </w:p>
          <w:p w14:paraId="5F4BE1B5" w14:textId="77777777" w:rsidR="007A6FF3" w:rsidRPr="007A6FF3" w:rsidRDefault="007A6FF3" w:rsidP="00224C7D">
            <w:pPr>
              <w:numPr>
                <w:ilvl w:val="0"/>
                <w:numId w:val="11"/>
              </w:numPr>
              <w:spacing w:after="200" w:line="276" w:lineRule="auto"/>
              <w:contextualSpacing/>
              <w:rPr>
                <w:rFonts w:cs="Arial"/>
                <w:sz w:val="28"/>
                <w:szCs w:val="28"/>
              </w:rPr>
            </w:pPr>
            <w:r w:rsidRPr="007A6FF3">
              <w:rPr>
                <w:rFonts w:cs="Arial"/>
              </w:rPr>
              <w:t xml:space="preserve">There is an EDI objective on every PDR within the Trust. </w:t>
            </w:r>
          </w:p>
          <w:p w14:paraId="7D1EC9EC" w14:textId="77777777" w:rsidR="007A6FF3" w:rsidRPr="007A6FF3" w:rsidRDefault="007A6FF3" w:rsidP="007A6FF3">
            <w:pPr>
              <w:rPr>
                <w:rFonts w:cs="Arial"/>
              </w:rPr>
            </w:pPr>
          </w:p>
        </w:tc>
        <w:tc>
          <w:tcPr>
            <w:tcW w:w="1271" w:type="dxa"/>
          </w:tcPr>
          <w:p w14:paraId="21355587" w14:textId="77777777" w:rsidR="007A6FF3" w:rsidRPr="007A6FF3" w:rsidRDefault="007A6FF3" w:rsidP="007A6FF3">
            <w:pPr>
              <w:jc w:val="center"/>
              <w:rPr>
                <w:rFonts w:cs="Arial"/>
                <w:b/>
                <w:bCs/>
              </w:rPr>
            </w:pPr>
            <w:r w:rsidRPr="007A6FF3">
              <w:rPr>
                <w:rFonts w:cs="Arial"/>
                <w:b/>
                <w:bCs/>
              </w:rPr>
              <w:t>Achieving 2</w:t>
            </w:r>
          </w:p>
        </w:tc>
        <w:tc>
          <w:tcPr>
            <w:tcW w:w="2445" w:type="dxa"/>
          </w:tcPr>
          <w:p w14:paraId="161EDA03" w14:textId="77777777" w:rsidR="007A6FF3" w:rsidRPr="007A6FF3" w:rsidRDefault="007A6FF3" w:rsidP="007A6FF3">
            <w:pPr>
              <w:rPr>
                <w:rFonts w:cs="Arial"/>
                <w:b/>
                <w:bCs/>
              </w:rPr>
            </w:pPr>
            <w:r w:rsidRPr="007A6FF3">
              <w:rPr>
                <w:rFonts w:cs="Arial"/>
                <w:b/>
                <w:bCs/>
              </w:rPr>
              <w:t>Executive Board</w:t>
            </w:r>
          </w:p>
        </w:tc>
      </w:tr>
      <w:tr w:rsidR="007A6FF3" w:rsidRPr="007A6FF3" w14:paraId="619A561C" w14:textId="77777777" w:rsidTr="00E35E51">
        <w:tc>
          <w:tcPr>
            <w:tcW w:w="10232" w:type="dxa"/>
            <w:gridSpan w:val="3"/>
            <w:shd w:val="clear" w:color="auto" w:fill="BDDEFF"/>
          </w:tcPr>
          <w:p w14:paraId="2EF795FE" w14:textId="77777777" w:rsidR="007A6FF3" w:rsidRPr="00893889" w:rsidRDefault="007A6FF3" w:rsidP="007A6FF3">
            <w:pPr>
              <w:rPr>
                <w:rFonts w:cs="Arial"/>
                <w:b/>
                <w:sz w:val="28"/>
                <w:szCs w:val="28"/>
              </w:rPr>
            </w:pPr>
            <w:r w:rsidRPr="00893889">
              <w:rPr>
                <w:rFonts w:cs="Arial"/>
                <w:b/>
                <w:sz w:val="28"/>
                <w:szCs w:val="28"/>
              </w:rPr>
              <w:lastRenderedPageBreak/>
              <w:t>Domain 3: Inclusive leadership overall rating</w:t>
            </w:r>
          </w:p>
        </w:tc>
        <w:tc>
          <w:tcPr>
            <w:tcW w:w="1271" w:type="dxa"/>
          </w:tcPr>
          <w:p w14:paraId="6B420D95" w14:textId="77777777" w:rsidR="007A6FF3" w:rsidRPr="00893889" w:rsidRDefault="007A6FF3" w:rsidP="007A6FF3">
            <w:pPr>
              <w:rPr>
                <w:rFonts w:cs="Arial"/>
                <w:b/>
                <w:bCs/>
                <w:sz w:val="28"/>
                <w:szCs w:val="28"/>
              </w:rPr>
            </w:pPr>
            <w:r w:rsidRPr="00893889">
              <w:rPr>
                <w:rFonts w:cs="Arial"/>
                <w:b/>
                <w:bCs/>
                <w:sz w:val="28"/>
                <w:szCs w:val="28"/>
              </w:rPr>
              <w:t>7</w:t>
            </w:r>
          </w:p>
        </w:tc>
        <w:tc>
          <w:tcPr>
            <w:tcW w:w="2445" w:type="dxa"/>
            <w:shd w:val="clear" w:color="auto" w:fill="BDDEFF"/>
          </w:tcPr>
          <w:p w14:paraId="601004F0" w14:textId="77777777" w:rsidR="007A6FF3" w:rsidRPr="00893889" w:rsidRDefault="007A6FF3" w:rsidP="007A6FF3">
            <w:pPr>
              <w:rPr>
                <w:rFonts w:cs="Arial"/>
                <w:sz w:val="28"/>
                <w:szCs w:val="28"/>
              </w:rPr>
            </w:pPr>
          </w:p>
        </w:tc>
      </w:tr>
    </w:tbl>
    <w:p w14:paraId="06623209" w14:textId="77777777" w:rsidR="007A6FF3" w:rsidRPr="007A6FF3" w:rsidRDefault="007A6FF3" w:rsidP="007A6FF3">
      <w:pPr>
        <w:spacing w:after="0" w:line="240" w:lineRule="auto"/>
        <w:rPr>
          <w:rFonts w:ascii="Arial" w:eastAsia="Calibri" w:hAnsi="Arial" w:cs="Arial"/>
          <w:color w:val="231F20"/>
          <w:kern w:val="0"/>
          <w:sz w:val="24"/>
          <w:szCs w:val="24"/>
          <w14:ligatures w14:val="none"/>
        </w:rPr>
      </w:pPr>
    </w:p>
    <w:p w14:paraId="00263480" w14:textId="77777777" w:rsidR="007A6FF3" w:rsidRPr="007A6FF3" w:rsidRDefault="007A6FF3" w:rsidP="007A6FF3">
      <w:pPr>
        <w:spacing w:after="0" w:line="240" w:lineRule="auto"/>
        <w:rPr>
          <w:rFonts w:ascii="Arial" w:eastAsia="Calibri" w:hAnsi="Arial" w:cs="Arial"/>
          <w:color w:val="231F20"/>
          <w:kern w:val="0"/>
          <w:sz w:val="24"/>
          <w:szCs w:val="24"/>
          <w14:ligatures w14:val="none"/>
        </w:rPr>
      </w:pPr>
      <w:r w:rsidRPr="007A6FF3">
        <w:rPr>
          <w:rFonts w:ascii="Arial" w:eastAsia="Calibri" w:hAnsi="Arial" w:cs="Arial"/>
          <w:color w:val="231F20"/>
          <w:kern w:val="0"/>
          <w:sz w:val="24"/>
          <w:szCs w:val="24"/>
          <w14:ligatures w14:val="none"/>
        </w:rPr>
        <w:br w:type="page"/>
      </w:r>
      <w:r w:rsidRPr="007A6FF3">
        <w:rPr>
          <w:rFonts w:ascii="Arial" w:eastAsia="Calibri" w:hAnsi="Arial" w:cs="Arial"/>
          <w:color w:val="231F20"/>
          <w:kern w:val="0"/>
          <w:sz w:val="24"/>
          <w:szCs w:val="24"/>
          <w14:ligatures w14:val="none"/>
        </w:rPr>
        <w:lastRenderedPageBreak/>
        <w:t xml:space="preserve"> </w:t>
      </w:r>
    </w:p>
    <w:tbl>
      <w:tblPr>
        <w:tblStyle w:val="TableGrid3"/>
        <w:tblpPr w:leftFromText="180" w:rightFromText="180" w:vertAnchor="text" w:tblpY="11"/>
        <w:tblW w:w="13598" w:type="dxa"/>
        <w:tblBorders>
          <w:top w:val="single" w:sz="4" w:space="0" w:color="768692"/>
          <w:left w:val="single" w:sz="4" w:space="0" w:color="768692"/>
          <w:bottom w:val="single" w:sz="4" w:space="0" w:color="768692"/>
          <w:right w:val="single" w:sz="4" w:space="0" w:color="768692"/>
          <w:insideH w:val="single" w:sz="4" w:space="0" w:color="768692"/>
          <w:insideV w:val="single" w:sz="4" w:space="0" w:color="768692"/>
        </w:tblBorders>
        <w:tblCellMar>
          <w:top w:w="62" w:type="dxa"/>
          <w:left w:w="62" w:type="dxa"/>
          <w:bottom w:w="62" w:type="dxa"/>
          <w:right w:w="62" w:type="dxa"/>
        </w:tblCellMar>
        <w:tblLook w:val="04A0" w:firstRow="1" w:lastRow="0" w:firstColumn="1" w:lastColumn="0" w:noHBand="0" w:noVBand="1"/>
      </w:tblPr>
      <w:tblGrid>
        <w:gridCol w:w="13598"/>
      </w:tblGrid>
      <w:tr w:rsidR="007A6FF3" w:rsidRPr="007A6FF3" w14:paraId="7A3C83BA" w14:textId="77777777" w:rsidTr="00476D43">
        <w:tc>
          <w:tcPr>
            <w:tcW w:w="13598" w:type="dxa"/>
            <w:shd w:val="clear" w:color="auto" w:fill="BDDEFF"/>
          </w:tcPr>
          <w:p w14:paraId="54B8D2F0" w14:textId="77777777" w:rsidR="007A6FF3" w:rsidRPr="007A6FF3" w:rsidRDefault="007A6FF3" w:rsidP="007A6FF3">
            <w:pPr>
              <w:rPr>
                <w:rFonts w:cs="Arial"/>
                <w:bCs/>
                <w:sz w:val="36"/>
                <w:szCs w:val="36"/>
              </w:rPr>
            </w:pPr>
            <w:r w:rsidRPr="007A6FF3">
              <w:rPr>
                <w:rFonts w:cs="Arial"/>
                <w:bCs/>
                <w:sz w:val="36"/>
                <w:szCs w:val="36"/>
              </w:rPr>
              <w:t>EDS Organisation Rating (overall rating): 40</w:t>
            </w:r>
          </w:p>
          <w:p w14:paraId="5181231F" w14:textId="77777777" w:rsidR="007A6FF3" w:rsidRPr="007A6FF3" w:rsidRDefault="007A6FF3" w:rsidP="007A6FF3">
            <w:pPr>
              <w:rPr>
                <w:rFonts w:cs="Arial"/>
                <w:sz w:val="28"/>
                <w:szCs w:val="28"/>
              </w:rPr>
            </w:pPr>
          </w:p>
          <w:p w14:paraId="622D2DA2" w14:textId="77777777" w:rsidR="007A6FF3" w:rsidRPr="007A6FF3" w:rsidRDefault="007A6FF3" w:rsidP="007A6FF3">
            <w:pPr>
              <w:rPr>
                <w:rFonts w:cs="Arial"/>
              </w:rPr>
            </w:pPr>
          </w:p>
        </w:tc>
      </w:tr>
      <w:tr w:rsidR="007A6FF3" w:rsidRPr="007A6FF3" w14:paraId="5F7D7A97" w14:textId="77777777" w:rsidTr="00476D43">
        <w:tc>
          <w:tcPr>
            <w:tcW w:w="13598" w:type="dxa"/>
            <w:shd w:val="clear" w:color="auto" w:fill="BDDEFF"/>
          </w:tcPr>
          <w:p w14:paraId="7E967BA4" w14:textId="77777777" w:rsidR="007A6FF3" w:rsidRPr="007A6FF3" w:rsidRDefault="007A6FF3" w:rsidP="007A6FF3">
            <w:pPr>
              <w:rPr>
                <w:rFonts w:cs="Arial"/>
                <w:bCs/>
                <w:sz w:val="36"/>
                <w:szCs w:val="36"/>
              </w:rPr>
            </w:pPr>
            <w:r w:rsidRPr="007A6FF3">
              <w:rPr>
                <w:rFonts w:cs="Arial"/>
                <w:bCs/>
                <w:sz w:val="36"/>
                <w:szCs w:val="36"/>
              </w:rPr>
              <w:t>Organisation name(s): LYPFT</w:t>
            </w:r>
          </w:p>
          <w:p w14:paraId="6E123331" w14:textId="77777777" w:rsidR="007A6FF3" w:rsidRPr="007A6FF3" w:rsidRDefault="007A6FF3" w:rsidP="007A6FF3">
            <w:pPr>
              <w:rPr>
                <w:rFonts w:cs="Arial"/>
                <w:bCs/>
                <w:color w:val="FFFFFF"/>
              </w:rPr>
            </w:pPr>
          </w:p>
          <w:p w14:paraId="4B42DF4D" w14:textId="77777777" w:rsidR="007A6FF3" w:rsidRPr="007A6FF3" w:rsidRDefault="007A6FF3" w:rsidP="007A6FF3">
            <w:pPr>
              <w:rPr>
                <w:rFonts w:cs="Arial"/>
                <w:bCs/>
                <w:color w:val="FFFFFF"/>
              </w:rPr>
            </w:pPr>
          </w:p>
        </w:tc>
      </w:tr>
      <w:tr w:rsidR="007A6FF3" w:rsidRPr="007A6FF3" w14:paraId="7173C695" w14:textId="77777777" w:rsidTr="00476D43">
        <w:tc>
          <w:tcPr>
            <w:tcW w:w="13598" w:type="dxa"/>
          </w:tcPr>
          <w:p w14:paraId="6BD4E917" w14:textId="77777777" w:rsidR="007A6FF3" w:rsidRPr="007A6FF3" w:rsidRDefault="007A6FF3" w:rsidP="007A6FF3">
            <w:pPr>
              <w:rPr>
                <w:rFonts w:cs="Arial"/>
              </w:rPr>
            </w:pPr>
          </w:p>
          <w:p w14:paraId="61FF0952" w14:textId="77777777" w:rsidR="007A6FF3" w:rsidRPr="007A6FF3" w:rsidRDefault="007A6FF3" w:rsidP="007A6FF3">
            <w:pPr>
              <w:rPr>
                <w:rFonts w:cs="Arial"/>
              </w:rPr>
            </w:pPr>
            <w:r w:rsidRPr="007A6FF3">
              <w:rPr>
                <w:rFonts w:cs="Arial"/>
              </w:rPr>
              <w:t xml:space="preserve">Those who score </w:t>
            </w:r>
            <w:r w:rsidRPr="007A6FF3">
              <w:rPr>
                <w:rFonts w:cs="Arial"/>
                <w:b/>
              </w:rPr>
              <w:t>under 8,</w:t>
            </w:r>
            <w:r w:rsidRPr="007A6FF3">
              <w:rPr>
                <w:rFonts w:cs="Arial"/>
              </w:rPr>
              <w:t xml:space="preserve"> adding all outcome scores in all domains, are rated </w:t>
            </w:r>
            <w:proofErr w:type="gramStart"/>
            <w:r w:rsidRPr="007A6FF3">
              <w:rPr>
                <w:rFonts w:cs="Arial"/>
                <w:b/>
                <w:color w:val="C00000"/>
              </w:rPr>
              <w:t>Undeveloped</w:t>
            </w:r>
            <w:proofErr w:type="gramEnd"/>
            <w:r w:rsidRPr="007A6FF3">
              <w:rPr>
                <w:rFonts w:cs="Arial"/>
              </w:rPr>
              <w:t xml:space="preserve"> </w:t>
            </w:r>
          </w:p>
          <w:p w14:paraId="10157345" w14:textId="77777777" w:rsidR="007A6FF3" w:rsidRPr="007A6FF3" w:rsidRDefault="007A6FF3" w:rsidP="007A6FF3">
            <w:pPr>
              <w:rPr>
                <w:rFonts w:cs="Arial"/>
              </w:rPr>
            </w:pPr>
          </w:p>
          <w:p w14:paraId="21F3E7CC" w14:textId="77777777" w:rsidR="007A6FF3" w:rsidRPr="007A6FF3" w:rsidRDefault="007A6FF3" w:rsidP="007A6FF3">
            <w:pPr>
              <w:rPr>
                <w:rFonts w:cs="Arial"/>
                <w:b/>
                <w:color w:val="1991C2"/>
              </w:rPr>
            </w:pPr>
            <w:r w:rsidRPr="007A6FF3">
              <w:rPr>
                <w:rFonts w:cs="Arial"/>
              </w:rPr>
              <w:t xml:space="preserve">Those who score </w:t>
            </w:r>
            <w:r w:rsidRPr="007A6FF3">
              <w:rPr>
                <w:rFonts w:cs="Arial"/>
                <w:b/>
              </w:rPr>
              <w:t>between 8 and 21,</w:t>
            </w:r>
            <w:r w:rsidRPr="007A6FF3">
              <w:rPr>
                <w:rFonts w:cs="Arial"/>
              </w:rPr>
              <w:t xml:space="preserve"> adding all outcome scores in all domains, are rated </w:t>
            </w:r>
            <w:proofErr w:type="gramStart"/>
            <w:r w:rsidRPr="007A6FF3">
              <w:rPr>
                <w:rFonts w:cs="Arial"/>
                <w:b/>
                <w:color w:val="1991C2"/>
              </w:rPr>
              <w:t>Developing</w:t>
            </w:r>
            <w:proofErr w:type="gramEnd"/>
          </w:p>
          <w:p w14:paraId="25104CC3" w14:textId="77777777" w:rsidR="007A6FF3" w:rsidRPr="007A6FF3" w:rsidRDefault="007A6FF3" w:rsidP="007A6FF3">
            <w:pPr>
              <w:rPr>
                <w:rFonts w:cs="Arial"/>
              </w:rPr>
            </w:pPr>
          </w:p>
          <w:p w14:paraId="7D5D8B89" w14:textId="77777777" w:rsidR="007A6FF3" w:rsidRPr="007A6FF3" w:rsidRDefault="007A6FF3" w:rsidP="007A6FF3">
            <w:pPr>
              <w:rPr>
                <w:rFonts w:cs="Arial"/>
                <w:b/>
                <w:color w:val="00B050"/>
              </w:rPr>
            </w:pPr>
            <w:r w:rsidRPr="007A6FF3">
              <w:rPr>
                <w:rFonts w:cs="Arial"/>
              </w:rPr>
              <w:t xml:space="preserve">Those who score </w:t>
            </w:r>
            <w:r w:rsidRPr="007A6FF3">
              <w:rPr>
                <w:rFonts w:cs="Arial"/>
                <w:b/>
              </w:rPr>
              <w:t>between 22 and 32,</w:t>
            </w:r>
            <w:r w:rsidRPr="007A6FF3">
              <w:rPr>
                <w:rFonts w:cs="Arial"/>
              </w:rPr>
              <w:t xml:space="preserve"> adding all outcome scores in all domains, are rated</w:t>
            </w:r>
            <w:r w:rsidRPr="007A6FF3">
              <w:rPr>
                <w:rFonts w:cs="Arial"/>
                <w:b/>
                <w:color w:val="7030A0"/>
              </w:rPr>
              <w:t xml:space="preserve"> </w:t>
            </w:r>
            <w:proofErr w:type="gramStart"/>
            <w:r w:rsidRPr="007A6FF3">
              <w:rPr>
                <w:rFonts w:cs="Arial"/>
                <w:b/>
                <w:color w:val="00B050"/>
              </w:rPr>
              <w:t>Achieving</w:t>
            </w:r>
            <w:proofErr w:type="gramEnd"/>
          </w:p>
          <w:p w14:paraId="08BEF78A" w14:textId="77777777" w:rsidR="007A6FF3" w:rsidRPr="007A6FF3" w:rsidRDefault="007A6FF3" w:rsidP="007A6FF3">
            <w:pPr>
              <w:rPr>
                <w:rFonts w:cs="Arial"/>
              </w:rPr>
            </w:pPr>
          </w:p>
          <w:p w14:paraId="212B2AD9" w14:textId="77777777" w:rsidR="007A6FF3" w:rsidRPr="007A6FF3" w:rsidRDefault="007A6FF3" w:rsidP="007A6FF3">
            <w:pPr>
              <w:rPr>
                <w:rFonts w:cs="Arial"/>
              </w:rPr>
            </w:pPr>
            <w:r w:rsidRPr="007A6FF3">
              <w:rPr>
                <w:rFonts w:cs="Arial"/>
              </w:rPr>
              <w:t xml:space="preserve">Those who score </w:t>
            </w:r>
            <w:r w:rsidRPr="007A6FF3">
              <w:rPr>
                <w:rFonts w:cs="Arial"/>
                <w:b/>
              </w:rPr>
              <w:t>33,</w:t>
            </w:r>
            <w:r w:rsidRPr="007A6FF3">
              <w:rPr>
                <w:rFonts w:cs="Arial"/>
              </w:rPr>
              <w:t xml:space="preserve"> adding all outcome scores in all domains, are rated</w:t>
            </w:r>
            <w:r w:rsidRPr="007A6FF3">
              <w:rPr>
                <w:rFonts w:cs="Arial"/>
                <w:b/>
                <w:color w:val="7030A0"/>
              </w:rPr>
              <w:t xml:space="preserve"> </w:t>
            </w:r>
            <w:proofErr w:type="gramStart"/>
            <w:r w:rsidRPr="007A6FF3">
              <w:rPr>
                <w:rFonts w:cs="Arial"/>
                <w:b/>
                <w:color w:val="7030A0"/>
              </w:rPr>
              <w:t>Excelling</w:t>
            </w:r>
            <w:proofErr w:type="gramEnd"/>
          </w:p>
          <w:p w14:paraId="101785C6" w14:textId="77777777" w:rsidR="007A6FF3" w:rsidRPr="007A6FF3" w:rsidRDefault="007A6FF3" w:rsidP="007A6FF3">
            <w:pPr>
              <w:rPr>
                <w:rFonts w:cs="Arial"/>
                <w:color w:val="7030A0"/>
              </w:rPr>
            </w:pPr>
          </w:p>
        </w:tc>
      </w:tr>
    </w:tbl>
    <w:p w14:paraId="0196312D" w14:textId="77777777" w:rsidR="007A6FF3" w:rsidRPr="007A6FF3" w:rsidRDefault="007A6FF3" w:rsidP="007A6FF3">
      <w:pPr>
        <w:spacing w:after="0" w:line="240" w:lineRule="auto"/>
        <w:rPr>
          <w:rFonts w:ascii="Arial" w:eastAsia="Calibri" w:hAnsi="Arial" w:cs="Arial"/>
          <w:color w:val="231F20"/>
          <w:kern w:val="0"/>
          <w:sz w:val="24"/>
          <w:szCs w:val="24"/>
          <w14:ligatures w14:val="none"/>
        </w:rPr>
      </w:pPr>
    </w:p>
    <w:p w14:paraId="56CDAB49" w14:textId="77777777" w:rsidR="00AD4B4E" w:rsidRDefault="00AD4B4E" w:rsidP="007A6FF3"/>
    <w:sectPr w:rsidR="00AD4B4E" w:rsidSect="001A12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7CC"/>
    <w:multiLevelType w:val="hybridMultilevel"/>
    <w:tmpl w:val="69600EE2"/>
    <w:lvl w:ilvl="0" w:tplc="50809C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B0DF6"/>
    <w:multiLevelType w:val="hybridMultilevel"/>
    <w:tmpl w:val="9F808F78"/>
    <w:lvl w:ilvl="0" w:tplc="50809CC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5D3FDA"/>
    <w:multiLevelType w:val="hybridMultilevel"/>
    <w:tmpl w:val="2E503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3E03B5"/>
    <w:multiLevelType w:val="hybridMultilevel"/>
    <w:tmpl w:val="61C65DE2"/>
    <w:lvl w:ilvl="0" w:tplc="50809CC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E44E34"/>
    <w:multiLevelType w:val="hybridMultilevel"/>
    <w:tmpl w:val="1986A06A"/>
    <w:lvl w:ilvl="0" w:tplc="B8B481A4">
      <w:start w:val="1"/>
      <w:numFmt w:val="decimal"/>
      <w:lvlText w:val="%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5" w15:restartNumberingAfterBreak="0">
    <w:nsid w:val="56D8709C"/>
    <w:multiLevelType w:val="hybridMultilevel"/>
    <w:tmpl w:val="83BA0478"/>
    <w:lvl w:ilvl="0" w:tplc="50809CC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00FC4"/>
    <w:multiLevelType w:val="hybridMultilevel"/>
    <w:tmpl w:val="351CBB0C"/>
    <w:lvl w:ilvl="0" w:tplc="149618B2">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66DC5DD8"/>
    <w:multiLevelType w:val="hybridMultilevel"/>
    <w:tmpl w:val="D18CA0E2"/>
    <w:lvl w:ilvl="0" w:tplc="50809C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2576C"/>
    <w:multiLevelType w:val="hybridMultilevel"/>
    <w:tmpl w:val="3066FE5E"/>
    <w:lvl w:ilvl="0" w:tplc="149618B2">
      <w:numFmt w:val="bullet"/>
      <w:lvlText w:val="-"/>
      <w:lvlJc w:val="left"/>
      <w:pPr>
        <w:ind w:left="430" w:hanging="360"/>
      </w:pPr>
      <w:rPr>
        <w:rFonts w:ascii="Arial" w:eastAsiaTheme="minorHAnsi"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9" w15:restartNumberingAfterBreak="0">
    <w:nsid w:val="70437D6E"/>
    <w:multiLevelType w:val="hybridMultilevel"/>
    <w:tmpl w:val="72F479A6"/>
    <w:lvl w:ilvl="0" w:tplc="50809CC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D02820"/>
    <w:multiLevelType w:val="hybridMultilevel"/>
    <w:tmpl w:val="10864118"/>
    <w:lvl w:ilvl="0" w:tplc="50809C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7352421">
    <w:abstractNumId w:val="8"/>
  </w:num>
  <w:num w:numId="2" w16cid:durableId="1587375710">
    <w:abstractNumId w:val="4"/>
  </w:num>
  <w:num w:numId="3" w16cid:durableId="1777140501">
    <w:abstractNumId w:val="3"/>
  </w:num>
  <w:num w:numId="4" w16cid:durableId="314114089">
    <w:abstractNumId w:val="2"/>
  </w:num>
  <w:num w:numId="5" w16cid:durableId="1532524286">
    <w:abstractNumId w:val="1"/>
  </w:num>
  <w:num w:numId="6" w16cid:durableId="1722165409">
    <w:abstractNumId w:val="5"/>
  </w:num>
  <w:num w:numId="7" w16cid:durableId="1569149259">
    <w:abstractNumId w:val="7"/>
  </w:num>
  <w:num w:numId="8" w16cid:durableId="1900942733">
    <w:abstractNumId w:val="9"/>
  </w:num>
  <w:num w:numId="9" w16cid:durableId="733703231">
    <w:abstractNumId w:val="0"/>
  </w:num>
  <w:num w:numId="10" w16cid:durableId="478038750">
    <w:abstractNumId w:val="10"/>
  </w:num>
  <w:num w:numId="11" w16cid:durableId="517748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C2"/>
    <w:rsid w:val="001A1206"/>
    <w:rsid w:val="00224C7D"/>
    <w:rsid w:val="00337031"/>
    <w:rsid w:val="00761485"/>
    <w:rsid w:val="007A6FF3"/>
    <w:rsid w:val="007C5E90"/>
    <w:rsid w:val="00893889"/>
    <w:rsid w:val="00994094"/>
    <w:rsid w:val="009E051C"/>
    <w:rsid w:val="00A07A83"/>
    <w:rsid w:val="00AD4B4E"/>
    <w:rsid w:val="00C32595"/>
    <w:rsid w:val="00C607C2"/>
    <w:rsid w:val="00E35E51"/>
    <w:rsid w:val="00E87A1E"/>
    <w:rsid w:val="00F8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C12B"/>
  <w15:chartTrackingRefBased/>
  <w15:docId w15:val="{7A529D07-C38F-4AA4-91FA-324F8014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C607C2"/>
    <w:pPr>
      <w:spacing w:after="0" w:line="240" w:lineRule="auto"/>
    </w:pPr>
    <w:rPr>
      <w:rFonts w:ascii="Arial" w:eastAsia="Calibri" w:hAnsi="Arial" w:cs="Times New Roman"/>
      <w:color w:val="231F20"/>
      <w:kern w:val="0"/>
      <w:sz w:val="24"/>
      <w:szCs w:val="24"/>
      <w14:ligatures w14:val="none"/>
    </w:rPr>
    <w:tblPr>
      <w:tblCellMar>
        <w:left w:w="0" w:type="dxa"/>
        <w:right w:w="0" w:type="dxa"/>
      </w:tblCellMar>
    </w:tblPr>
  </w:style>
  <w:style w:type="table" w:styleId="TableGrid">
    <w:name w:val="Table Grid"/>
    <w:basedOn w:val="TableNormal"/>
    <w:uiPriority w:val="39"/>
    <w:rsid w:val="00C60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A6FF3"/>
    <w:pPr>
      <w:spacing w:after="0" w:line="240" w:lineRule="auto"/>
    </w:pPr>
    <w:rPr>
      <w:rFonts w:ascii="Arial" w:eastAsia="Calibri" w:hAnsi="Arial" w:cs="Times New Roman"/>
      <w:color w:val="231F20"/>
      <w:kern w:val="0"/>
      <w:sz w:val="24"/>
      <w:szCs w:val="24"/>
      <w14:ligatures w14:val="none"/>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11</TotalTime>
  <Pages>20</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TANGEN, Wendy Ann (LEEDS AND YORK PARTNERSHIP NHS FOUNDATION TRUST)</dc:creator>
  <cp:keywords/>
  <dc:description/>
  <cp:lastModifiedBy>DODD, Frances (LEEDS AND YORK PARTNERSHIP NHS FOUNDATION TRUST)</cp:lastModifiedBy>
  <cp:revision>4</cp:revision>
  <dcterms:created xsi:type="dcterms:W3CDTF">2024-02-28T11:58:00Z</dcterms:created>
  <dcterms:modified xsi:type="dcterms:W3CDTF">2024-02-28T12:13:00Z</dcterms:modified>
</cp:coreProperties>
</file>