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3D" w:rsidRPr="003113DB" w:rsidRDefault="005E133D" w:rsidP="005E133D">
      <w:pPr>
        <w:jc w:val="center"/>
        <w:rPr>
          <w:rFonts w:eastAsia="Times New Roman" w:cs="Times New Roman"/>
          <w:b/>
          <w:sz w:val="24"/>
          <w:szCs w:val="24"/>
        </w:rPr>
      </w:pPr>
      <w:r w:rsidRPr="003113DB">
        <w:rPr>
          <w:rFonts w:eastAsia="Times New Roman" w:cs="Times New Roman"/>
          <w:b/>
          <w:sz w:val="24"/>
          <w:szCs w:val="24"/>
        </w:rPr>
        <w:t>Proposed Declarations</w:t>
      </w:r>
    </w:p>
    <w:p w:rsidR="005E133D" w:rsidRDefault="005E133D" w:rsidP="005E133D">
      <w:pPr>
        <w:rPr>
          <w:rFonts w:eastAsia="Times New Roman" w:cs="Times New Roman"/>
          <w:sz w:val="24"/>
          <w:szCs w:val="24"/>
        </w:rPr>
      </w:pPr>
    </w:p>
    <w:p w:rsidR="005E133D" w:rsidRDefault="005E133D" w:rsidP="005E133D">
      <w:pPr>
        <w:rPr>
          <w:rFonts w:eastAsia="Times New Roman" w:cs="Times New Roman"/>
          <w:sz w:val="24"/>
          <w:szCs w:val="24"/>
        </w:rPr>
      </w:pPr>
    </w:p>
    <w:tbl>
      <w:tblPr>
        <w:tblStyle w:val="TableGrid"/>
        <w:tblW w:w="14567" w:type="dxa"/>
        <w:tblLook w:val="04A0" w:firstRow="1" w:lastRow="0" w:firstColumn="1" w:lastColumn="0" w:noHBand="0" w:noVBand="1"/>
      </w:tblPr>
      <w:tblGrid>
        <w:gridCol w:w="1050"/>
        <w:gridCol w:w="9720"/>
        <w:gridCol w:w="3797"/>
      </w:tblGrid>
      <w:tr w:rsidR="005E133D" w:rsidTr="00315B7F">
        <w:trPr>
          <w:cantSplit/>
          <w:trHeight w:val="583"/>
          <w:tblHeader/>
        </w:trPr>
        <w:tc>
          <w:tcPr>
            <w:tcW w:w="1050" w:type="dxa"/>
            <w:shd w:val="clear" w:color="auto" w:fill="DBE5F1" w:themeFill="accent1" w:themeFillTint="33"/>
          </w:tcPr>
          <w:p w:rsidR="005E133D" w:rsidRPr="005856EF" w:rsidRDefault="005E133D" w:rsidP="005E133D">
            <w:pPr>
              <w:jc w:val="left"/>
              <w:rPr>
                <w:rFonts w:eastAsia="Times New Roman" w:cs="Times New Roman"/>
                <w:szCs w:val="20"/>
              </w:rPr>
            </w:pPr>
          </w:p>
        </w:tc>
        <w:tc>
          <w:tcPr>
            <w:tcW w:w="9720" w:type="dxa"/>
            <w:shd w:val="clear" w:color="auto" w:fill="DBE5F1" w:themeFill="accent1" w:themeFillTint="33"/>
            <w:vAlign w:val="center"/>
          </w:tcPr>
          <w:p w:rsidR="005E133D" w:rsidRPr="005856EF" w:rsidRDefault="005E133D" w:rsidP="005E133D">
            <w:pPr>
              <w:jc w:val="left"/>
              <w:rPr>
                <w:rFonts w:eastAsia="Times New Roman" w:cs="Times New Roman"/>
                <w:szCs w:val="20"/>
              </w:rPr>
            </w:pPr>
            <w:r w:rsidRPr="005856EF">
              <w:rPr>
                <w:rFonts w:eastAsia="Times New Roman" w:cs="Times New Roman"/>
                <w:szCs w:val="20"/>
              </w:rPr>
              <w:t>Statement</w:t>
            </w:r>
          </w:p>
        </w:tc>
        <w:tc>
          <w:tcPr>
            <w:tcW w:w="3797" w:type="dxa"/>
            <w:shd w:val="clear" w:color="auto" w:fill="DBE5F1" w:themeFill="accent1" w:themeFillTint="33"/>
            <w:vAlign w:val="center"/>
          </w:tcPr>
          <w:p w:rsidR="005E133D" w:rsidRPr="005856EF" w:rsidRDefault="005E133D" w:rsidP="005E133D">
            <w:pPr>
              <w:jc w:val="left"/>
              <w:rPr>
                <w:rFonts w:eastAsia="Times New Roman" w:cs="Times New Roman"/>
                <w:szCs w:val="20"/>
              </w:rPr>
            </w:pPr>
            <w:r w:rsidRPr="005856EF">
              <w:rPr>
                <w:rFonts w:eastAsia="Times New Roman" w:cs="Times New Roman"/>
                <w:szCs w:val="20"/>
              </w:rPr>
              <w:t>Declaration</w:t>
            </w:r>
          </w:p>
        </w:tc>
      </w:tr>
      <w:tr w:rsidR="005E133D" w:rsidTr="00315B7F">
        <w:tc>
          <w:tcPr>
            <w:tcW w:w="1050" w:type="dxa"/>
          </w:tcPr>
          <w:p w:rsidR="005E133D" w:rsidRPr="005856EF" w:rsidRDefault="005E133D" w:rsidP="005E133D">
            <w:pPr>
              <w:jc w:val="left"/>
              <w:rPr>
                <w:rFonts w:eastAsia="Times New Roman" w:cs="Times New Roman"/>
                <w:szCs w:val="20"/>
              </w:rPr>
            </w:pPr>
            <w:r w:rsidRPr="005856EF">
              <w:rPr>
                <w:rFonts w:eastAsia="Times New Roman" w:cs="Times New Roman"/>
                <w:szCs w:val="20"/>
              </w:rPr>
              <w:t>G6(3)</w:t>
            </w:r>
          </w:p>
        </w:tc>
        <w:tc>
          <w:tcPr>
            <w:tcW w:w="9720" w:type="dxa"/>
          </w:tcPr>
          <w:p w:rsidR="005E133D" w:rsidRPr="00612243" w:rsidRDefault="00F31411" w:rsidP="005E133D">
            <w:pPr>
              <w:jc w:val="left"/>
              <w:rPr>
                <w:rFonts w:eastAsia="Times New Roman" w:cs="Times New Roman"/>
                <w:szCs w:val="20"/>
              </w:rPr>
            </w:pPr>
            <w:r w:rsidRPr="00612243">
              <w:rPr>
                <w:rFonts w:eastAsia="Times New Roman" w:cs="Times New Roman"/>
                <w:szCs w:val="20"/>
              </w:rPr>
              <w:t>Following a review for the purpose of paragraph 2(b) of licence condition G6, the Directors of the Licensee are satisfied that, in the Financial Year most recently ended, the Licensee took all such precautions as were necessary in order to comply with the conditions of the licence, any requirements imposed on it under the NHS Acts and have had regard to the NHS Constitution.</w:t>
            </w:r>
            <w:r w:rsidR="005E133D" w:rsidRPr="00612243">
              <w:rPr>
                <w:rFonts w:eastAsia="Times New Roman" w:cs="Times New Roman"/>
                <w:szCs w:val="20"/>
              </w:rPr>
              <w:tab/>
            </w:r>
          </w:p>
          <w:p w:rsidR="005E133D" w:rsidRPr="00612243" w:rsidRDefault="005E133D" w:rsidP="005E133D">
            <w:pPr>
              <w:jc w:val="left"/>
              <w:rPr>
                <w:rFonts w:eastAsia="Times New Roman" w:cs="Times New Roman"/>
                <w:szCs w:val="20"/>
              </w:rPr>
            </w:pPr>
          </w:p>
        </w:tc>
        <w:tc>
          <w:tcPr>
            <w:tcW w:w="3797" w:type="dxa"/>
          </w:tcPr>
          <w:p w:rsidR="005E133D" w:rsidRPr="005856EF" w:rsidRDefault="005E133D" w:rsidP="00F17273">
            <w:pPr>
              <w:rPr>
                <w:rFonts w:eastAsia="Times New Roman" w:cs="Times New Roman"/>
                <w:szCs w:val="20"/>
              </w:rPr>
            </w:pPr>
            <w:r w:rsidRPr="005856EF">
              <w:rPr>
                <w:rFonts w:eastAsia="Times New Roman" w:cs="Times New Roman"/>
                <w:szCs w:val="20"/>
              </w:rPr>
              <w:t>Confirmed</w:t>
            </w:r>
            <w:r w:rsidR="0051624C">
              <w:rPr>
                <w:rFonts w:eastAsia="Times New Roman" w:cs="Times New Roman"/>
                <w:szCs w:val="20"/>
              </w:rPr>
              <w:t xml:space="preserve"> compliant 201</w:t>
            </w:r>
            <w:r w:rsidR="00F17273">
              <w:rPr>
                <w:rFonts w:eastAsia="Times New Roman" w:cs="Times New Roman"/>
                <w:szCs w:val="20"/>
              </w:rPr>
              <w:t>8</w:t>
            </w:r>
            <w:r w:rsidR="0051624C">
              <w:rPr>
                <w:rFonts w:eastAsia="Times New Roman" w:cs="Times New Roman"/>
                <w:szCs w:val="20"/>
              </w:rPr>
              <w:t>/1</w:t>
            </w:r>
            <w:r w:rsidR="00F17273">
              <w:rPr>
                <w:rFonts w:eastAsia="Times New Roman" w:cs="Times New Roman"/>
                <w:szCs w:val="20"/>
              </w:rPr>
              <w:t>9</w:t>
            </w:r>
          </w:p>
        </w:tc>
      </w:tr>
      <w:tr w:rsidR="00B85C47" w:rsidTr="00315B7F">
        <w:tc>
          <w:tcPr>
            <w:tcW w:w="1050" w:type="dxa"/>
          </w:tcPr>
          <w:p w:rsidR="00B85C47" w:rsidRPr="005856EF" w:rsidRDefault="00B85C47" w:rsidP="005E133D">
            <w:pPr>
              <w:jc w:val="left"/>
              <w:rPr>
                <w:rFonts w:eastAsia="Times New Roman" w:cs="Times New Roman"/>
                <w:szCs w:val="20"/>
              </w:rPr>
            </w:pPr>
            <w:proofErr w:type="spellStart"/>
            <w:r>
              <w:rPr>
                <w:rFonts w:eastAsia="Times New Roman" w:cs="Times New Roman"/>
                <w:szCs w:val="20"/>
              </w:rPr>
              <w:t>CoS</w:t>
            </w:r>
            <w:proofErr w:type="spellEnd"/>
            <w:r>
              <w:rPr>
                <w:rFonts w:eastAsia="Times New Roman" w:cs="Times New Roman"/>
                <w:szCs w:val="20"/>
              </w:rPr>
              <w:t>(7)</w:t>
            </w:r>
          </w:p>
        </w:tc>
        <w:tc>
          <w:tcPr>
            <w:tcW w:w="9720" w:type="dxa"/>
          </w:tcPr>
          <w:p w:rsidR="00B533F1" w:rsidRPr="00612243" w:rsidRDefault="00F31411" w:rsidP="005E133D">
            <w:pPr>
              <w:jc w:val="left"/>
              <w:rPr>
                <w:rFonts w:eastAsia="Times New Roman" w:cs="Times New Roman"/>
                <w:szCs w:val="20"/>
              </w:rPr>
            </w:pPr>
            <w:r w:rsidRPr="00612243">
              <w:rPr>
                <w:rFonts w:eastAsia="Times New Roman" w:cs="Times New Roman"/>
                <w:szCs w:val="20"/>
              </w:rPr>
              <w:t>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w:t>
            </w:r>
          </w:p>
          <w:p w:rsidR="00F31411" w:rsidRPr="00612243" w:rsidRDefault="00F31411" w:rsidP="005E133D">
            <w:pPr>
              <w:jc w:val="left"/>
              <w:rPr>
                <w:rFonts w:eastAsia="Times New Roman" w:cs="Times New Roman"/>
                <w:szCs w:val="20"/>
              </w:rPr>
            </w:pPr>
          </w:p>
        </w:tc>
        <w:tc>
          <w:tcPr>
            <w:tcW w:w="3797" w:type="dxa"/>
          </w:tcPr>
          <w:p w:rsidR="00282AC6" w:rsidRDefault="006476EE" w:rsidP="006476EE">
            <w:pPr>
              <w:jc w:val="left"/>
              <w:rPr>
                <w:rFonts w:eastAsia="Times New Roman" w:cs="Times New Roman"/>
                <w:szCs w:val="20"/>
              </w:rPr>
            </w:pPr>
            <w:r>
              <w:rPr>
                <w:rFonts w:eastAsia="Times New Roman" w:cs="Times New Roman"/>
                <w:szCs w:val="20"/>
              </w:rPr>
              <w:t xml:space="preserve">Confirmed </w:t>
            </w:r>
            <w:r w:rsidR="00FE596B">
              <w:rPr>
                <w:rFonts w:eastAsia="Times New Roman" w:cs="Times New Roman"/>
                <w:szCs w:val="20"/>
              </w:rPr>
              <w:t xml:space="preserve">for </w:t>
            </w:r>
            <w:r>
              <w:rPr>
                <w:rFonts w:eastAsia="Times New Roman" w:cs="Times New Roman"/>
                <w:szCs w:val="20"/>
              </w:rPr>
              <w:t>201</w:t>
            </w:r>
            <w:r w:rsidR="00F17273">
              <w:rPr>
                <w:rFonts w:eastAsia="Times New Roman" w:cs="Times New Roman"/>
                <w:szCs w:val="20"/>
              </w:rPr>
              <w:t>9/20</w:t>
            </w:r>
            <w:r>
              <w:rPr>
                <w:rFonts w:eastAsia="Times New Roman" w:cs="Times New Roman"/>
                <w:szCs w:val="20"/>
              </w:rPr>
              <w:t xml:space="preserve"> </w:t>
            </w:r>
          </w:p>
          <w:p w:rsidR="00282AC6" w:rsidRDefault="00282AC6" w:rsidP="006476EE">
            <w:pPr>
              <w:jc w:val="left"/>
              <w:rPr>
                <w:rFonts w:eastAsia="Times New Roman" w:cs="Times New Roman"/>
                <w:szCs w:val="20"/>
              </w:rPr>
            </w:pPr>
          </w:p>
          <w:p w:rsidR="00FE596B" w:rsidRPr="005856EF" w:rsidRDefault="00FE596B" w:rsidP="005D3031">
            <w:pPr>
              <w:jc w:val="left"/>
              <w:rPr>
                <w:rFonts w:eastAsia="Times New Roman" w:cs="Times New Roman"/>
                <w:szCs w:val="20"/>
              </w:rPr>
            </w:pPr>
          </w:p>
        </w:tc>
      </w:tr>
      <w:tr w:rsidR="005E133D" w:rsidTr="00315B7F">
        <w:tc>
          <w:tcPr>
            <w:tcW w:w="1050" w:type="dxa"/>
          </w:tcPr>
          <w:p w:rsidR="005E133D" w:rsidRPr="005856EF" w:rsidRDefault="005E133D" w:rsidP="005E133D">
            <w:pPr>
              <w:jc w:val="left"/>
              <w:rPr>
                <w:rFonts w:eastAsia="Times New Roman" w:cs="Times New Roman"/>
                <w:szCs w:val="20"/>
              </w:rPr>
            </w:pPr>
            <w:r w:rsidRPr="005856EF">
              <w:rPr>
                <w:rFonts w:eastAsia="Times New Roman" w:cs="Times New Roman"/>
                <w:szCs w:val="20"/>
              </w:rPr>
              <w:t>FT4(8)</w:t>
            </w:r>
          </w:p>
        </w:tc>
        <w:tc>
          <w:tcPr>
            <w:tcW w:w="9720" w:type="dxa"/>
          </w:tcPr>
          <w:p w:rsidR="005E133D" w:rsidRPr="005856EF" w:rsidRDefault="005E133D" w:rsidP="005E133D">
            <w:pPr>
              <w:jc w:val="left"/>
              <w:rPr>
                <w:rFonts w:eastAsia="Times New Roman" w:cs="Times New Roman"/>
                <w:szCs w:val="20"/>
              </w:rPr>
            </w:pPr>
            <w:r w:rsidRPr="005856EF">
              <w:rPr>
                <w:rFonts w:eastAsia="Times New Roman" w:cs="Times New Roman"/>
                <w:szCs w:val="20"/>
              </w:rPr>
              <w:t>The Board is satisfied that the Trust applies those principles, systems and standards of good corporate governance which reasonably would be regarded as appropriate for a supplier of health care services to the NHS.</w:t>
            </w:r>
          </w:p>
          <w:p w:rsidR="005E133D" w:rsidRPr="005856EF" w:rsidRDefault="005E133D" w:rsidP="005E133D">
            <w:pPr>
              <w:jc w:val="left"/>
              <w:rPr>
                <w:rFonts w:eastAsia="Times New Roman" w:cs="Times New Roman"/>
                <w:szCs w:val="20"/>
              </w:rPr>
            </w:pPr>
          </w:p>
        </w:tc>
        <w:tc>
          <w:tcPr>
            <w:tcW w:w="3797" w:type="dxa"/>
          </w:tcPr>
          <w:p w:rsidR="005E133D" w:rsidRDefault="005E133D" w:rsidP="005E133D">
            <w:pPr>
              <w:rPr>
                <w:rFonts w:eastAsia="Times New Roman" w:cs="Times New Roman"/>
                <w:szCs w:val="20"/>
              </w:rPr>
            </w:pPr>
            <w:r w:rsidRPr="005856EF">
              <w:rPr>
                <w:rFonts w:eastAsia="Times New Roman" w:cs="Times New Roman"/>
                <w:szCs w:val="20"/>
              </w:rPr>
              <w:t>Confirmed</w:t>
            </w:r>
            <w:r w:rsidR="0051624C">
              <w:rPr>
                <w:rFonts w:eastAsia="Times New Roman" w:cs="Times New Roman"/>
                <w:szCs w:val="20"/>
              </w:rPr>
              <w:t xml:space="preserve"> </w:t>
            </w:r>
            <w:r w:rsidR="00282AC6">
              <w:rPr>
                <w:rFonts w:eastAsia="Times New Roman" w:cs="Times New Roman"/>
                <w:szCs w:val="20"/>
              </w:rPr>
              <w:t xml:space="preserve">compliant </w:t>
            </w:r>
            <w:r w:rsidR="0051624C">
              <w:rPr>
                <w:rFonts w:eastAsia="Times New Roman" w:cs="Times New Roman"/>
                <w:szCs w:val="20"/>
              </w:rPr>
              <w:t>201</w:t>
            </w:r>
            <w:r w:rsidR="00F17273">
              <w:rPr>
                <w:rFonts w:eastAsia="Times New Roman" w:cs="Times New Roman"/>
                <w:szCs w:val="20"/>
              </w:rPr>
              <w:t>8</w:t>
            </w:r>
            <w:r w:rsidR="0051624C">
              <w:rPr>
                <w:rFonts w:eastAsia="Times New Roman" w:cs="Times New Roman"/>
                <w:szCs w:val="20"/>
              </w:rPr>
              <w:t>/1</w:t>
            </w:r>
            <w:r w:rsidR="00F17273">
              <w:rPr>
                <w:rFonts w:eastAsia="Times New Roman" w:cs="Times New Roman"/>
                <w:szCs w:val="20"/>
              </w:rPr>
              <w:t>9</w:t>
            </w:r>
          </w:p>
          <w:p w:rsidR="00514F5A" w:rsidRDefault="00514F5A" w:rsidP="005E133D">
            <w:pPr>
              <w:rPr>
                <w:rFonts w:eastAsia="Times New Roman" w:cs="Times New Roman"/>
                <w:szCs w:val="20"/>
              </w:rPr>
            </w:pPr>
          </w:p>
          <w:p w:rsidR="006476EE" w:rsidRPr="005856EF" w:rsidRDefault="006476EE" w:rsidP="00FE596B">
            <w:pPr>
              <w:ind w:left="34"/>
              <w:jc w:val="left"/>
              <w:rPr>
                <w:rFonts w:eastAsia="Times New Roman" w:cs="Times New Roman"/>
                <w:szCs w:val="20"/>
              </w:rPr>
            </w:pPr>
          </w:p>
        </w:tc>
      </w:tr>
      <w:tr w:rsidR="00282AC6" w:rsidTr="00315B7F">
        <w:tc>
          <w:tcPr>
            <w:tcW w:w="1050" w:type="dxa"/>
          </w:tcPr>
          <w:p w:rsidR="00282AC6" w:rsidRPr="005856EF" w:rsidRDefault="00282AC6" w:rsidP="000E2384">
            <w:pPr>
              <w:jc w:val="left"/>
              <w:rPr>
                <w:rFonts w:eastAsia="Times New Roman" w:cs="Times New Roman"/>
                <w:szCs w:val="20"/>
              </w:rPr>
            </w:pPr>
            <w:r w:rsidRPr="005856EF">
              <w:rPr>
                <w:rFonts w:eastAsia="Times New Roman" w:cs="Times New Roman"/>
                <w:szCs w:val="20"/>
              </w:rPr>
              <w:t>FT4(8)</w:t>
            </w:r>
          </w:p>
        </w:tc>
        <w:tc>
          <w:tcPr>
            <w:tcW w:w="9720" w:type="dxa"/>
          </w:tcPr>
          <w:p w:rsidR="00282AC6" w:rsidRPr="005856EF" w:rsidRDefault="00282AC6" w:rsidP="005E133D">
            <w:pPr>
              <w:jc w:val="left"/>
              <w:rPr>
                <w:rFonts w:eastAsia="Times New Roman" w:cs="Times New Roman"/>
                <w:szCs w:val="20"/>
              </w:rPr>
            </w:pPr>
            <w:r w:rsidRPr="005856EF">
              <w:rPr>
                <w:rFonts w:eastAsia="Times New Roman" w:cs="Times New Roman"/>
                <w:szCs w:val="20"/>
              </w:rPr>
              <w:t>The Board has regard to such guidance on good corporate governance as may be issued by NHS Improvement from time to time</w:t>
            </w:r>
          </w:p>
          <w:p w:rsidR="00282AC6" w:rsidRPr="005856EF" w:rsidRDefault="00282AC6" w:rsidP="005E133D">
            <w:pPr>
              <w:jc w:val="left"/>
              <w:rPr>
                <w:rFonts w:eastAsia="Times New Roman" w:cs="Times New Roman"/>
                <w:szCs w:val="20"/>
              </w:rPr>
            </w:pPr>
          </w:p>
        </w:tc>
        <w:tc>
          <w:tcPr>
            <w:tcW w:w="3797" w:type="dxa"/>
          </w:tcPr>
          <w:p w:rsidR="00282AC6" w:rsidRDefault="00282AC6" w:rsidP="004937BE">
            <w:pPr>
              <w:rPr>
                <w:rFonts w:eastAsia="Times New Roman" w:cs="Times New Roman"/>
                <w:szCs w:val="20"/>
              </w:rPr>
            </w:pPr>
            <w:r w:rsidRPr="005856EF">
              <w:rPr>
                <w:rFonts w:eastAsia="Times New Roman" w:cs="Times New Roman"/>
                <w:szCs w:val="20"/>
              </w:rPr>
              <w:t>Confirmed</w:t>
            </w:r>
            <w:r>
              <w:rPr>
                <w:rFonts w:eastAsia="Times New Roman" w:cs="Times New Roman"/>
                <w:szCs w:val="20"/>
              </w:rPr>
              <w:t xml:space="preserve"> compliant 201</w:t>
            </w:r>
            <w:r w:rsidR="00F17273">
              <w:rPr>
                <w:rFonts w:eastAsia="Times New Roman" w:cs="Times New Roman"/>
                <w:szCs w:val="20"/>
              </w:rPr>
              <w:t>8</w:t>
            </w:r>
            <w:r>
              <w:rPr>
                <w:rFonts w:eastAsia="Times New Roman" w:cs="Times New Roman"/>
                <w:szCs w:val="20"/>
              </w:rPr>
              <w:t>/1</w:t>
            </w:r>
            <w:r w:rsidR="00F17273">
              <w:rPr>
                <w:rFonts w:eastAsia="Times New Roman" w:cs="Times New Roman"/>
                <w:szCs w:val="20"/>
              </w:rPr>
              <w:t>9</w:t>
            </w:r>
          </w:p>
          <w:p w:rsidR="00282AC6" w:rsidRDefault="00282AC6" w:rsidP="004937BE">
            <w:pPr>
              <w:rPr>
                <w:rFonts w:eastAsia="Times New Roman" w:cs="Times New Roman"/>
                <w:szCs w:val="20"/>
              </w:rPr>
            </w:pPr>
          </w:p>
          <w:p w:rsidR="00282AC6" w:rsidRPr="005856EF" w:rsidRDefault="00282AC6" w:rsidP="004937BE">
            <w:pPr>
              <w:ind w:left="34"/>
              <w:jc w:val="left"/>
              <w:rPr>
                <w:rFonts w:eastAsia="Times New Roman" w:cs="Times New Roman"/>
                <w:szCs w:val="20"/>
              </w:rPr>
            </w:pPr>
          </w:p>
        </w:tc>
      </w:tr>
      <w:tr w:rsidR="00282AC6" w:rsidTr="00315B7F">
        <w:tc>
          <w:tcPr>
            <w:tcW w:w="1050" w:type="dxa"/>
          </w:tcPr>
          <w:p w:rsidR="00282AC6" w:rsidRPr="005856EF" w:rsidRDefault="00282AC6" w:rsidP="000E2384">
            <w:pPr>
              <w:jc w:val="left"/>
              <w:rPr>
                <w:rFonts w:eastAsia="Times New Roman" w:cs="Times New Roman"/>
                <w:szCs w:val="20"/>
              </w:rPr>
            </w:pPr>
            <w:r w:rsidRPr="005856EF">
              <w:rPr>
                <w:rFonts w:eastAsia="Times New Roman" w:cs="Times New Roman"/>
                <w:szCs w:val="20"/>
              </w:rPr>
              <w:t>FT4(8)</w:t>
            </w:r>
          </w:p>
        </w:tc>
        <w:tc>
          <w:tcPr>
            <w:tcW w:w="9720" w:type="dxa"/>
          </w:tcPr>
          <w:p w:rsidR="00282AC6" w:rsidRPr="005856EF" w:rsidRDefault="00282AC6" w:rsidP="005E133D">
            <w:pPr>
              <w:jc w:val="left"/>
              <w:rPr>
                <w:rFonts w:eastAsia="Times New Roman" w:cs="Times New Roman"/>
                <w:szCs w:val="20"/>
              </w:rPr>
            </w:pPr>
            <w:r w:rsidRPr="005856EF">
              <w:rPr>
                <w:rFonts w:eastAsia="Times New Roman" w:cs="Times New Roman"/>
                <w:szCs w:val="20"/>
              </w:rPr>
              <w:t xml:space="preserve">The Board is satisfied that the Trust implements: </w:t>
            </w:r>
          </w:p>
          <w:p w:rsidR="00282AC6" w:rsidRPr="005856EF" w:rsidRDefault="00282AC6" w:rsidP="005E133D">
            <w:pPr>
              <w:pStyle w:val="ListParagraph"/>
              <w:numPr>
                <w:ilvl w:val="0"/>
                <w:numId w:val="1"/>
              </w:numPr>
              <w:ind w:left="851" w:hanging="567"/>
              <w:jc w:val="left"/>
              <w:rPr>
                <w:rFonts w:eastAsia="Times New Roman" w:cs="Times New Roman"/>
                <w:szCs w:val="20"/>
              </w:rPr>
            </w:pPr>
            <w:r w:rsidRPr="005856EF">
              <w:rPr>
                <w:rFonts w:eastAsia="Times New Roman" w:cs="Times New Roman"/>
                <w:szCs w:val="20"/>
              </w:rPr>
              <w:t>Effective board and committee structures</w:t>
            </w:r>
          </w:p>
          <w:p w:rsidR="00282AC6" w:rsidRPr="005856EF" w:rsidRDefault="00282AC6" w:rsidP="005E133D">
            <w:pPr>
              <w:pStyle w:val="ListParagraph"/>
              <w:numPr>
                <w:ilvl w:val="0"/>
                <w:numId w:val="1"/>
              </w:numPr>
              <w:ind w:left="851" w:hanging="567"/>
              <w:jc w:val="left"/>
              <w:rPr>
                <w:rFonts w:eastAsia="Times New Roman" w:cs="Times New Roman"/>
                <w:szCs w:val="20"/>
              </w:rPr>
            </w:pPr>
            <w:r w:rsidRPr="005856EF">
              <w:rPr>
                <w:rFonts w:eastAsia="Times New Roman" w:cs="Times New Roman"/>
                <w:szCs w:val="20"/>
              </w:rPr>
              <w:t>Clear responsibilities for its Board, for committees reporting to the Board and for staff reporting to the Board and those committees</w:t>
            </w:r>
          </w:p>
          <w:p w:rsidR="00282AC6" w:rsidRPr="005856EF" w:rsidRDefault="00282AC6" w:rsidP="005E133D">
            <w:pPr>
              <w:pStyle w:val="ListParagraph"/>
              <w:numPr>
                <w:ilvl w:val="0"/>
                <w:numId w:val="1"/>
              </w:numPr>
              <w:ind w:left="851" w:hanging="567"/>
              <w:jc w:val="left"/>
              <w:rPr>
                <w:rFonts w:eastAsia="Times New Roman" w:cs="Times New Roman"/>
                <w:szCs w:val="20"/>
              </w:rPr>
            </w:pPr>
            <w:r w:rsidRPr="005856EF">
              <w:rPr>
                <w:rFonts w:eastAsia="Times New Roman" w:cs="Times New Roman"/>
                <w:szCs w:val="20"/>
              </w:rPr>
              <w:t>Clear reporting lines and accountabilities throughout its organisation</w:t>
            </w:r>
          </w:p>
          <w:p w:rsidR="00282AC6" w:rsidRPr="005856EF" w:rsidRDefault="00282AC6" w:rsidP="005E133D">
            <w:pPr>
              <w:pStyle w:val="ListParagraph"/>
              <w:ind w:left="851"/>
              <w:jc w:val="left"/>
              <w:rPr>
                <w:rFonts w:eastAsia="Times New Roman" w:cs="Times New Roman"/>
                <w:szCs w:val="20"/>
              </w:rPr>
            </w:pPr>
          </w:p>
        </w:tc>
        <w:tc>
          <w:tcPr>
            <w:tcW w:w="3797" w:type="dxa"/>
          </w:tcPr>
          <w:p w:rsidR="00282AC6" w:rsidRDefault="00282AC6" w:rsidP="004937BE">
            <w:pPr>
              <w:rPr>
                <w:rFonts w:eastAsia="Times New Roman" w:cs="Times New Roman"/>
                <w:szCs w:val="20"/>
              </w:rPr>
            </w:pPr>
            <w:r w:rsidRPr="005856EF">
              <w:rPr>
                <w:rFonts w:eastAsia="Times New Roman" w:cs="Times New Roman"/>
                <w:szCs w:val="20"/>
              </w:rPr>
              <w:t>Confirmed</w:t>
            </w:r>
            <w:r>
              <w:rPr>
                <w:rFonts w:eastAsia="Times New Roman" w:cs="Times New Roman"/>
                <w:szCs w:val="20"/>
              </w:rPr>
              <w:t xml:space="preserve"> compliant 201</w:t>
            </w:r>
            <w:r w:rsidR="00F17273">
              <w:rPr>
                <w:rFonts w:eastAsia="Times New Roman" w:cs="Times New Roman"/>
                <w:szCs w:val="20"/>
              </w:rPr>
              <w:t>8</w:t>
            </w:r>
            <w:r>
              <w:rPr>
                <w:rFonts w:eastAsia="Times New Roman" w:cs="Times New Roman"/>
                <w:szCs w:val="20"/>
              </w:rPr>
              <w:t>/1</w:t>
            </w:r>
            <w:r w:rsidR="00F17273">
              <w:rPr>
                <w:rFonts w:eastAsia="Times New Roman" w:cs="Times New Roman"/>
                <w:szCs w:val="20"/>
              </w:rPr>
              <w:t>9</w:t>
            </w:r>
          </w:p>
          <w:p w:rsidR="00282AC6" w:rsidRDefault="00282AC6" w:rsidP="004937BE">
            <w:pPr>
              <w:rPr>
                <w:rFonts w:eastAsia="Times New Roman" w:cs="Times New Roman"/>
                <w:szCs w:val="20"/>
              </w:rPr>
            </w:pPr>
          </w:p>
          <w:p w:rsidR="006C5B4F" w:rsidRPr="005856EF" w:rsidRDefault="006C5B4F" w:rsidP="006C5B4F">
            <w:pPr>
              <w:ind w:left="34"/>
              <w:jc w:val="left"/>
              <w:rPr>
                <w:rFonts w:eastAsia="Times New Roman" w:cs="Times New Roman"/>
                <w:szCs w:val="20"/>
              </w:rPr>
            </w:pPr>
          </w:p>
        </w:tc>
      </w:tr>
      <w:tr w:rsidR="00282AC6" w:rsidTr="00514F5A">
        <w:trPr>
          <w:cantSplit/>
          <w:trHeight w:val="4209"/>
        </w:trPr>
        <w:tc>
          <w:tcPr>
            <w:tcW w:w="1050" w:type="dxa"/>
          </w:tcPr>
          <w:p w:rsidR="00282AC6" w:rsidRPr="005856EF" w:rsidRDefault="00282AC6" w:rsidP="000E2384">
            <w:pPr>
              <w:jc w:val="left"/>
              <w:rPr>
                <w:rFonts w:eastAsia="Times New Roman" w:cs="Times New Roman"/>
                <w:szCs w:val="20"/>
              </w:rPr>
            </w:pPr>
            <w:r w:rsidRPr="005856EF">
              <w:rPr>
                <w:rFonts w:eastAsia="Times New Roman" w:cs="Times New Roman"/>
                <w:szCs w:val="20"/>
              </w:rPr>
              <w:lastRenderedPageBreak/>
              <w:t>FT4(8)</w:t>
            </w:r>
          </w:p>
        </w:tc>
        <w:tc>
          <w:tcPr>
            <w:tcW w:w="9720" w:type="dxa"/>
          </w:tcPr>
          <w:p w:rsidR="00282AC6" w:rsidRPr="005856EF" w:rsidRDefault="00282AC6" w:rsidP="005E133D">
            <w:pPr>
              <w:rPr>
                <w:rFonts w:eastAsia="Times New Roman" w:cs="Times New Roman"/>
                <w:szCs w:val="20"/>
              </w:rPr>
            </w:pPr>
            <w:r w:rsidRPr="005856EF">
              <w:rPr>
                <w:rFonts w:eastAsia="Times New Roman" w:cs="Times New Roman"/>
                <w:szCs w:val="20"/>
              </w:rPr>
              <w:t>The Board is satisfied that the Trust effectively implements systems and/or processes:</w:t>
            </w:r>
          </w:p>
          <w:p w:rsidR="00282AC6" w:rsidRPr="005856EF" w:rsidRDefault="00282AC6" w:rsidP="005E133D">
            <w:pPr>
              <w:rPr>
                <w:rFonts w:eastAsia="Times New Roman" w:cs="Times New Roman"/>
                <w:szCs w:val="20"/>
              </w:rPr>
            </w:pPr>
          </w:p>
          <w:p w:rsidR="00282AC6" w:rsidRPr="005856EF" w:rsidRDefault="00282AC6" w:rsidP="005E133D">
            <w:pPr>
              <w:pStyle w:val="ListParagraph"/>
              <w:numPr>
                <w:ilvl w:val="0"/>
                <w:numId w:val="4"/>
              </w:numPr>
              <w:ind w:left="851" w:hanging="567"/>
              <w:rPr>
                <w:rFonts w:eastAsia="Times New Roman" w:cs="Times New Roman"/>
                <w:szCs w:val="20"/>
              </w:rPr>
            </w:pPr>
            <w:r w:rsidRPr="005856EF">
              <w:rPr>
                <w:rFonts w:eastAsia="Times New Roman" w:cs="Times New Roman"/>
                <w:szCs w:val="20"/>
              </w:rPr>
              <w:t>To ensure compliance with the Licensee’s duty to operate efficiently, economically and effectively</w:t>
            </w:r>
          </w:p>
          <w:p w:rsidR="00282AC6" w:rsidRPr="005856EF" w:rsidRDefault="00282AC6" w:rsidP="005E133D">
            <w:pPr>
              <w:pStyle w:val="ListParagraph"/>
              <w:numPr>
                <w:ilvl w:val="0"/>
                <w:numId w:val="4"/>
              </w:numPr>
              <w:ind w:left="851" w:hanging="567"/>
              <w:rPr>
                <w:rFonts w:eastAsia="Times New Roman" w:cs="Times New Roman"/>
                <w:szCs w:val="20"/>
              </w:rPr>
            </w:pPr>
            <w:r w:rsidRPr="005856EF">
              <w:rPr>
                <w:rFonts w:eastAsia="Times New Roman" w:cs="Times New Roman"/>
                <w:szCs w:val="20"/>
              </w:rPr>
              <w:t>For timely and effective scrutiny and oversight by the Board of the Licensee’s operations</w:t>
            </w:r>
          </w:p>
          <w:p w:rsidR="00282AC6" w:rsidRPr="005856EF" w:rsidRDefault="00282AC6" w:rsidP="005E133D">
            <w:pPr>
              <w:pStyle w:val="ListParagraph"/>
              <w:numPr>
                <w:ilvl w:val="0"/>
                <w:numId w:val="4"/>
              </w:numPr>
              <w:ind w:left="851" w:hanging="567"/>
              <w:rPr>
                <w:rFonts w:eastAsia="Times New Roman" w:cs="Times New Roman"/>
                <w:szCs w:val="20"/>
              </w:rPr>
            </w:pPr>
            <w:r w:rsidRPr="005856EF">
              <w:rPr>
                <w:rFonts w:eastAsia="Times New Roman" w:cs="Times New Roman"/>
                <w:szCs w:val="20"/>
              </w:rPr>
              <w:t>To ensure compliance with health care standards binding on the Licensee including but not restricted to standards specified by the Secretary of State, the Care Quality Commission, the NHS Commissioning Board and statutory regulators of health care professions</w:t>
            </w:r>
          </w:p>
          <w:p w:rsidR="00282AC6" w:rsidRPr="005856EF" w:rsidRDefault="00282AC6" w:rsidP="005E133D">
            <w:pPr>
              <w:pStyle w:val="ListParagraph"/>
              <w:numPr>
                <w:ilvl w:val="0"/>
                <w:numId w:val="4"/>
              </w:numPr>
              <w:ind w:left="851" w:hanging="567"/>
              <w:rPr>
                <w:rFonts w:eastAsia="Times New Roman" w:cs="Times New Roman"/>
                <w:szCs w:val="20"/>
              </w:rPr>
            </w:pPr>
            <w:r w:rsidRPr="005856EF">
              <w:rPr>
                <w:rFonts w:eastAsia="Times New Roman" w:cs="Times New Roman"/>
                <w:szCs w:val="20"/>
              </w:rPr>
              <w:t xml:space="preserve">For effective financial decision-making, management and control (including but not restricted to appropriate systems and/or processes to ensure the Licensee’s ability to continue as a going concern) </w:t>
            </w:r>
          </w:p>
          <w:p w:rsidR="00282AC6" w:rsidRPr="005856EF" w:rsidRDefault="00282AC6" w:rsidP="005E133D">
            <w:pPr>
              <w:pStyle w:val="ListParagraph"/>
              <w:numPr>
                <w:ilvl w:val="0"/>
                <w:numId w:val="4"/>
              </w:numPr>
              <w:ind w:left="851" w:hanging="567"/>
              <w:rPr>
                <w:rFonts w:eastAsia="Times New Roman" w:cs="Times New Roman"/>
                <w:szCs w:val="20"/>
              </w:rPr>
            </w:pPr>
            <w:r w:rsidRPr="005856EF">
              <w:rPr>
                <w:rFonts w:eastAsia="Times New Roman" w:cs="Times New Roman"/>
                <w:szCs w:val="20"/>
              </w:rPr>
              <w:t>To obtain and disseminate accurate, comprehensive, timely and up to date information for Board and Committee decision-making</w:t>
            </w:r>
          </w:p>
          <w:p w:rsidR="00282AC6" w:rsidRPr="005856EF" w:rsidRDefault="00282AC6" w:rsidP="005E133D">
            <w:pPr>
              <w:pStyle w:val="ListParagraph"/>
              <w:numPr>
                <w:ilvl w:val="0"/>
                <w:numId w:val="4"/>
              </w:numPr>
              <w:ind w:left="851" w:hanging="567"/>
              <w:rPr>
                <w:rFonts w:eastAsia="Times New Roman" w:cs="Times New Roman"/>
                <w:szCs w:val="20"/>
              </w:rPr>
            </w:pPr>
            <w:r w:rsidRPr="005856EF">
              <w:rPr>
                <w:rFonts w:eastAsia="Times New Roman" w:cs="Times New Roman"/>
                <w:szCs w:val="20"/>
              </w:rPr>
              <w:t>To identify and manage (including but not restricted to manage through forward plans) material risks to compliance with the Conditions of its Licence</w:t>
            </w:r>
          </w:p>
          <w:p w:rsidR="00282AC6" w:rsidRPr="005856EF" w:rsidRDefault="00282AC6" w:rsidP="005E133D">
            <w:pPr>
              <w:pStyle w:val="ListParagraph"/>
              <w:numPr>
                <w:ilvl w:val="0"/>
                <w:numId w:val="4"/>
              </w:numPr>
              <w:ind w:left="851" w:hanging="567"/>
              <w:rPr>
                <w:rFonts w:eastAsia="Times New Roman" w:cs="Times New Roman"/>
                <w:szCs w:val="20"/>
              </w:rPr>
            </w:pPr>
            <w:r w:rsidRPr="005856EF">
              <w:rPr>
                <w:rFonts w:eastAsia="Times New Roman" w:cs="Times New Roman"/>
                <w:szCs w:val="20"/>
              </w:rPr>
              <w:t>To generate and monitor delivery of business plans (including any changes to such plans) and to receive internal and where appropriate external assurance on such plans and their delivery</w:t>
            </w:r>
          </w:p>
          <w:p w:rsidR="00282AC6" w:rsidRPr="005856EF" w:rsidRDefault="00282AC6" w:rsidP="005E133D">
            <w:pPr>
              <w:pStyle w:val="ListParagraph"/>
              <w:numPr>
                <w:ilvl w:val="0"/>
                <w:numId w:val="4"/>
              </w:numPr>
              <w:ind w:left="851" w:hanging="567"/>
              <w:rPr>
                <w:rFonts w:eastAsia="Times New Roman" w:cs="Times New Roman"/>
                <w:szCs w:val="20"/>
              </w:rPr>
            </w:pPr>
            <w:r w:rsidRPr="005856EF">
              <w:rPr>
                <w:rFonts w:eastAsia="Times New Roman" w:cs="Times New Roman"/>
                <w:szCs w:val="20"/>
              </w:rPr>
              <w:t>To ensure compliance with all applicable legal requirements.</w:t>
            </w:r>
          </w:p>
          <w:p w:rsidR="00282AC6" w:rsidRPr="005856EF" w:rsidRDefault="00282AC6" w:rsidP="005E133D">
            <w:pPr>
              <w:jc w:val="left"/>
              <w:rPr>
                <w:rFonts w:eastAsia="Times New Roman" w:cs="Times New Roman"/>
                <w:szCs w:val="20"/>
              </w:rPr>
            </w:pPr>
          </w:p>
        </w:tc>
        <w:tc>
          <w:tcPr>
            <w:tcW w:w="3797" w:type="dxa"/>
          </w:tcPr>
          <w:p w:rsidR="00282AC6" w:rsidRDefault="00282AC6" w:rsidP="004937BE">
            <w:pPr>
              <w:rPr>
                <w:rFonts w:eastAsia="Times New Roman" w:cs="Times New Roman"/>
                <w:szCs w:val="20"/>
              </w:rPr>
            </w:pPr>
            <w:r w:rsidRPr="005856EF">
              <w:rPr>
                <w:rFonts w:eastAsia="Times New Roman" w:cs="Times New Roman"/>
                <w:szCs w:val="20"/>
              </w:rPr>
              <w:t>Confirmed</w:t>
            </w:r>
            <w:r>
              <w:rPr>
                <w:rFonts w:eastAsia="Times New Roman" w:cs="Times New Roman"/>
                <w:szCs w:val="20"/>
              </w:rPr>
              <w:t xml:space="preserve"> compliant 201</w:t>
            </w:r>
            <w:r w:rsidR="00612243">
              <w:rPr>
                <w:rFonts w:eastAsia="Times New Roman" w:cs="Times New Roman"/>
                <w:szCs w:val="20"/>
              </w:rPr>
              <w:t>8</w:t>
            </w:r>
            <w:r>
              <w:rPr>
                <w:rFonts w:eastAsia="Times New Roman" w:cs="Times New Roman"/>
                <w:szCs w:val="20"/>
              </w:rPr>
              <w:t>/</w:t>
            </w:r>
            <w:r w:rsidR="00612243">
              <w:rPr>
                <w:rFonts w:eastAsia="Times New Roman" w:cs="Times New Roman"/>
                <w:szCs w:val="20"/>
              </w:rPr>
              <w:t>19</w:t>
            </w:r>
          </w:p>
          <w:p w:rsidR="00282AC6" w:rsidRDefault="00282AC6" w:rsidP="004937BE">
            <w:pPr>
              <w:rPr>
                <w:rFonts w:eastAsia="Times New Roman" w:cs="Times New Roman"/>
                <w:szCs w:val="20"/>
              </w:rPr>
            </w:pPr>
          </w:p>
          <w:p w:rsidR="006C5B4F" w:rsidRDefault="006C5B4F" w:rsidP="004937BE">
            <w:pPr>
              <w:ind w:left="34"/>
              <w:jc w:val="left"/>
              <w:rPr>
                <w:rFonts w:eastAsia="Times New Roman" w:cs="Times New Roman"/>
                <w:szCs w:val="20"/>
              </w:rPr>
            </w:pPr>
          </w:p>
          <w:p w:rsidR="00282AC6" w:rsidRPr="005856EF" w:rsidRDefault="00282AC6" w:rsidP="004937BE">
            <w:pPr>
              <w:ind w:left="34"/>
              <w:jc w:val="left"/>
              <w:rPr>
                <w:rFonts w:eastAsia="Times New Roman" w:cs="Times New Roman"/>
                <w:szCs w:val="20"/>
              </w:rPr>
            </w:pPr>
          </w:p>
        </w:tc>
      </w:tr>
      <w:tr w:rsidR="00282AC6" w:rsidTr="00315B7F">
        <w:trPr>
          <w:cantSplit/>
        </w:trPr>
        <w:tc>
          <w:tcPr>
            <w:tcW w:w="1050" w:type="dxa"/>
          </w:tcPr>
          <w:p w:rsidR="00282AC6" w:rsidRPr="005856EF" w:rsidRDefault="00282AC6" w:rsidP="000E2384">
            <w:pPr>
              <w:jc w:val="left"/>
              <w:rPr>
                <w:rFonts w:eastAsia="Times New Roman" w:cs="Times New Roman"/>
                <w:szCs w:val="20"/>
              </w:rPr>
            </w:pPr>
            <w:r w:rsidRPr="005856EF">
              <w:rPr>
                <w:rFonts w:eastAsia="Times New Roman" w:cs="Times New Roman"/>
                <w:szCs w:val="20"/>
              </w:rPr>
              <w:t>FT4(8)</w:t>
            </w:r>
          </w:p>
        </w:tc>
        <w:tc>
          <w:tcPr>
            <w:tcW w:w="9720" w:type="dxa"/>
          </w:tcPr>
          <w:p w:rsidR="00282AC6" w:rsidRPr="005856EF" w:rsidRDefault="00282AC6" w:rsidP="005E133D">
            <w:pPr>
              <w:rPr>
                <w:rFonts w:eastAsia="Times New Roman" w:cs="Times New Roman"/>
                <w:szCs w:val="20"/>
              </w:rPr>
            </w:pPr>
            <w:r w:rsidRPr="005856EF">
              <w:rPr>
                <w:rFonts w:eastAsia="Times New Roman" w:cs="Times New Roman"/>
                <w:szCs w:val="20"/>
              </w:rPr>
              <w:t>The Board is satisfied that the systems and/or processes referred to in paragraph 4 (above) should include but not be restricted to systems and/or processes to ensure:</w:t>
            </w:r>
          </w:p>
          <w:p w:rsidR="00282AC6" w:rsidRPr="005856EF" w:rsidRDefault="00282AC6" w:rsidP="005E133D">
            <w:pPr>
              <w:ind w:left="2520"/>
              <w:rPr>
                <w:rFonts w:eastAsia="Times New Roman" w:cs="Times New Roman"/>
                <w:szCs w:val="20"/>
              </w:rPr>
            </w:pPr>
          </w:p>
          <w:p w:rsidR="00282AC6" w:rsidRPr="005856EF" w:rsidRDefault="00282AC6" w:rsidP="005E133D">
            <w:pPr>
              <w:pStyle w:val="ListParagraph"/>
              <w:numPr>
                <w:ilvl w:val="0"/>
                <w:numId w:val="5"/>
              </w:numPr>
              <w:ind w:left="851" w:hanging="567"/>
              <w:rPr>
                <w:rFonts w:eastAsia="Times New Roman" w:cs="Times New Roman"/>
                <w:szCs w:val="20"/>
              </w:rPr>
            </w:pPr>
            <w:r w:rsidRPr="005856EF">
              <w:rPr>
                <w:rFonts w:eastAsia="Times New Roman" w:cs="Times New Roman"/>
                <w:szCs w:val="20"/>
              </w:rPr>
              <w:t>That there is sufficient capability at Board level to provide effective organisational leadership on the quality of care provided</w:t>
            </w:r>
          </w:p>
          <w:p w:rsidR="00282AC6" w:rsidRPr="005856EF" w:rsidRDefault="00282AC6" w:rsidP="005E133D">
            <w:pPr>
              <w:pStyle w:val="ListParagraph"/>
              <w:numPr>
                <w:ilvl w:val="0"/>
                <w:numId w:val="5"/>
              </w:numPr>
              <w:ind w:left="851" w:hanging="567"/>
              <w:rPr>
                <w:rFonts w:eastAsia="Times New Roman" w:cs="Times New Roman"/>
                <w:szCs w:val="20"/>
              </w:rPr>
            </w:pPr>
            <w:r w:rsidRPr="005856EF">
              <w:rPr>
                <w:rFonts w:eastAsia="Times New Roman" w:cs="Times New Roman"/>
                <w:szCs w:val="20"/>
              </w:rPr>
              <w:t>That the Board’s planning and decision-making processes take timely and appropriate account of quality of care considerations;</w:t>
            </w:r>
          </w:p>
          <w:p w:rsidR="00282AC6" w:rsidRPr="005856EF" w:rsidRDefault="00282AC6" w:rsidP="005E133D">
            <w:pPr>
              <w:pStyle w:val="ListParagraph"/>
              <w:numPr>
                <w:ilvl w:val="0"/>
                <w:numId w:val="5"/>
              </w:numPr>
              <w:ind w:left="851" w:hanging="567"/>
              <w:rPr>
                <w:rFonts w:eastAsia="Times New Roman" w:cs="Times New Roman"/>
                <w:szCs w:val="20"/>
              </w:rPr>
            </w:pPr>
            <w:r w:rsidRPr="005856EF">
              <w:rPr>
                <w:rFonts w:eastAsia="Times New Roman" w:cs="Times New Roman"/>
                <w:szCs w:val="20"/>
              </w:rPr>
              <w:t>The collection of accurate, comprehensive, timely and up to date information on quality of care</w:t>
            </w:r>
          </w:p>
          <w:p w:rsidR="00282AC6" w:rsidRPr="005856EF" w:rsidRDefault="00282AC6" w:rsidP="005E133D">
            <w:pPr>
              <w:pStyle w:val="ListParagraph"/>
              <w:numPr>
                <w:ilvl w:val="0"/>
                <w:numId w:val="5"/>
              </w:numPr>
              <w:ind w:left="851" w:hanging="567"/>
              <w:rPr>
                <w:rFonts w:eastAsia="Times New Roman" w:cs="Times New Roman"/>
                <w:szCs w:val="20"/>
              </w:rPr>
            </w:pPr>
            <w:r w:rsidRPr="005856EF">
              <w:rPr>
                <w:rFonts w:eastAsia="Times New Roman" w:cs="Times New Roman"/>
                <w:szCs w:val="20"/>
              </w:rPr>
              <w:t>That the Board receives and takes into account accurate, comprehensive, timely and up to date information on quality of care</w:t>
            </w:r>
          </w:p>
          <w:p w:rsidR="00282AC6" w:rsidRPr="005856EF" w:rsidRDefault="00282AC6" w:rsidP="005E133D">
            <w:pPr>
              <w:pStyle w:val="ListParagraph"/>
              <w:numPr>
                <w:ilvl w:val="0"/>
                <w:numId w:val="5"/>
              </w:numPr>
              <w:ind w:left="851" w:hanging="567"/>
              <w:rPr>
                <w:rFonts w:eastAsia="Times New Roman" w:cs="Times New Roman"/>
                <w:szCs w:val="20"/>
              </w:rPr>
            </w:pPr>
            <w:r w:rsidRPr="005856EF">
              <w:rPr>
                <w:rFonts w:eastAsia="Times New Roman" w:cs="Times New Roman"/>
                <w:szCs w:val="20"/>
              </w:rPr>
              <w:t>That the Trust, including its Board, actively engages on quality of care with patients, staff and other relevant stakeholders and takes into account as appropriate views and information from these sources</w:t>
            </w:r>
          </w:p>
          <w:p w:rsidR="00282AC6" w:rsidRPr="005856EF" w:rsidRDefault="00282AC6" w:rsidP="005E133D">
            <w:pPr>
              <w:pStyle w:val="ListParagraph"/>
              <w:numPr>
                <w:ilvl w:val="0"/>
                <w:numId w:val="5"/>
              </w:numPr>
              <w:ind w:left="851" w:hanging="567"/>
              <w:rPr>
                <w:rFonts w:eastAsia="Times New Roman" w:cs="Times New Roman"/>
                <w:szCs w:val="20"/>
              </w:rPr>
            </w:pPr>
            <w:r w:rsidRPr="005856EF">
              <w:rPr>
                <w:rFonts w:eastAsia="Times New Roman" w:cs="Times New Roman"/>
                <w:szCs w:val="20"/>
              </w:rPr>
              <w:t>That there is clear accountability for quality of care throughout the Trust including but not restricted to systems and/or processes for escalating and resolving quality issues including escalating them to the Board where appropriate.</w:t>
            </w:r>
          </w:p>
          <w:p w:rsidR="00282AC6" w:rsidRPr="005856EF" w:rsidRDefault="00282AC6" w:rsidP="005E133D">
            <w:pPr>
              <w:jc w:val="left"/>
              <w:rPr>
                <w:rFonts w:eastAsia="Times New Roman" w:cs="Times New Roman"/>
                <w:szCs w:val="20"/>
              </w:rPr>
            </w:pPr>
          </w:p>
        </w:tc>
        <w:tc>
          <w:tcPr>
            <w:tcW w:w="3797" w:type="dxa"/>
          </w:tcPr>
          <w:p w:rsidR="00282AC6" w:rsidRDefault="00282AC6" w:rsidP="004937BE">
            <w:pPr>
              <w:rPr>
                <w:rFonts w:eastAsia="Times New Roman" w:cs="Times New Roman"/>
                <w:szCs w:val="20"/>
              </w:rPr>
            </w:pPr>
            <w:r w:rsidRPr="005856EF">
              <w:rPr>
                <w:rFonts w:eastAsia="Times New Roman" w:cs="Times New Roman"/>
                <w:szCs w:val="20"/>
              </w:rPr>
              <w:t>Confirmed</w:t>
            </w:r>
            <w:r>
              <w:rPr>
                <w:rFonts w:eastAsia="Times New Roman" w:cs="Times New Roman"/>
                <w:szCs w:val="20"/>
              </w:rPr>
              <w:t xml:space="preserve"> compliant 201</w:t>
            </w:r>
            <w:r w:rsidR="00612243">
              <w:rPr>
                <w:rFonts w:eastAsia="Times New Roman" w:cs="Times New Roman"/>
                <w:szCs w:val="20"/>
              </w:rPr>
              <w:t>8</w:t>
            </w:r>
            <w:r>
              <w:rPr>
                <w:rFonts w:eastAsia="Times New Roman" w:cs="Times New Roman"/>
                <w:szCs w:val="20"/>
              </w:rPr>
              <w:t>/1</w:t>
            </w:r>
            <w:r w:rsidR="00612243">
              <w:rPr>
                <w:rFonts w:eastAsia="Times New Roman" w:cs="Times New Roman"/>
                <w:szCs w:val="20"/>
              </w:rPr>
              <w:t>9</w:t>
            </w:r>
          </w:p>
          <w:p w:rsidR="002F2042" w:rsidRDefault="002F2042" w:rsidP="004937BE">
            <w:pPr>
              <w:rPr>
                <w:rFonts w:eastAsia="Times New Roman" w:cs="Times New Roman"/>
                <w:szCs w:val="20"/>
              </w:rPr>
            </w:pPr>
          </w:p>
          <w:p w:rsidR="002F2042" w:rsidRDefault="002F2042" w:rsidP="004937BE">
            <w:pPr>
              <w:rPr>
                <w:rFonts w:eastAsia="Times New Roman" w:cs="Times New Roman"/>
                <w:szCs w:val="20"/>
              </w:rPr>
            </w:pPr>
            <w:r>
              <w:rPr>
                <w:rFonts w:eastAsia="Times New Roman" w:cs="Times New Roman"/>
                <w:szCs w:val="20"/>
              </w:rPr>
              <w:t>Although it is recognised that with the implementation of the new patient records’ system (CareDirector) there could be a temporary dip in the information available.  This is being managed through robust testing and contingency plans are in place.</w:t>
            </w:r>
          </w:p>
          <w:p w:rsidR="002F2042" w:rsidRDefault="002F2042" w:rsidP="004937BE">
            <w:pPr>
              <w:rPr>
                <w:rFonts w:eastAsia="Times New Roman" w:cs="Times New Roman"/>
                <w:szCs w:val="20"/>
              </w:rPr>
            </w:pPr>
          </w:p>
          <w:p w:rsidR="00282AC6" w:rsidRDefault="002F2042" w:rsidP="004937BE">
            <w:pPr>
              <w:rPr>
                <w:rFonts w:eastAsia="Times New Roman" w:cs="Times New Roman"/>
                <w:szCs w:val="20"/>
              </w:rPr>
            </w:pPr>
            <w:r>
              <w:rPr>
                <w:rFonts w:eastAsia="Times New Roman" w:cs="Times New Roman"/>
                <w:szCs w:val="20"/>
              </w:rPr>
              <w:t>With regard to engaging with service users and carers it is recognised that much work is going on in the Trust to strengthen these arrangements, including recruitment to the Patient Experience Team.</w:t>
            </w:r>
          </w:p>
          <w:p w:rsidR="006C5B4F" w:rsidRPr="006C5B4F" w:rsidRDefault="006C5B4F" w:rsidP="006C5B4F">
            <w:pPr>
              <w:ind w:left="34"/>
              <w:jc w:val="left"/>
              <w:rPr>
                <w:rFonts w:eastAsia="Times New Roman" w:cs="Times New Roman"/>
                <w:szCs w:val="20"/>
              </w:rPr>
            </w:pPr>
          </w:p>
          <w:p w:rsidR="00282AC6" w:rsidRPr="005856EF" w:rsidRDefault="00282AC6" w:rsidP="006C5B4F">
            <w:pPr>
              <w:ind w:left="34"/>
              <w:jc w:val="left"/>
              <w:rPr>
                <w:rFonts w:eastAsia="Times New Roman" w:cs="Times New Roman"/>
                <w:szCs w:val="20"/>
              </w:rPr>
            </w:pPr>
          </w:p>
        </w:tc>
      </w:tr>
      <w:tr w:rsidR="005E133D" w:rsidTr="00315B7F">
        <w:trPr>
          <w:cantSplit/>
        </w:trPr>
        <w:tc>
          <w:tcPr>
            <w:tcW w:w="1050" w:type="dxa"/>
          </w:tcPr>
          <w:p w:rsidR="005E133D" w:rsidRPr="005856EF" w:rsidRDefault="005E133D" w:rsidP="000E2384">
            <w:pPr>
              <w:jc w:val="left"/>
              <w:rPr>
                <w:rFonts w:eastAsia="Times New Roman" w:cs="Times New Roman"/>
                <w:szCs w:val="20"/>
              </w:rPr>
            </w:pPr>
            <w:r w:rsidRPr="005856EF">
              <w:rPr>
                <w:rFonts w:eastAsia="Times New Roman" w:cs="Times New Roman"/>
                <w:szCs w:val="20"/>
              </w:rPr>
              <w:lastRenderedPageBreak/>
              <w:t>FT4(8)</w:t>
            </w:r>
          </w:p>
        </w:tc>
        <w:tc>
          <w:tcPr>
            <w:tcW w:w="9720" w:type="dxa"/>
          </w:tcPr>
          <w:p w:rsidR="005E133D" w:rsidRPr="005856EF" w:rsidRDefault="005E133D" w:rsidP="005E133D">
            <w:pPr>
              <w:rPr>
                <w:rFonts w:eastAsia="Times New Roman" w:cs="Times New Roman"/>
                <w:szCs w:val="20"/>
              </w:rPr>
            </w:pPr>
            <w:r w:rsidRPr="005856EF">
              <w:rPr>
                <w:rFonts w:eastAsia="Times New Roman" w:cs="Times New Roman"/>
                <w:szCs w:val="20"/>
              </w:rPr>
              <w:t>The Board is satisfied that there are systems to ensure that the Trust has in place personnel on the Board, reporting to the Board and within the rest of the organisation who are sufficient in number and appropriately qualified to ensure compliance with the conditions of its NHS provider licence.</w:t>
            </w:r>
            <w:r w:rsidRPr="005856EF">
              <w:rPr>
                <w:rFonts w:eastAsia="Times New Roman" w:cs="Times New Roman"/>
                <w:szCs w:val="20"/>
              </w:rPr>
              <w:tab/>
            </w:r>
          </w:p>
          <w:p w:rsidR="005E133D" w:rsidRPr="005856EF" w:rsidRDefault="005E133D" w:rsidP="005E133D">
            <w:pPr>
              <w:rPr>
                <w:rFonts w:eastAsia="Times New Roman" w:cs="Times New Roman"/>
                <w:szCs w:val="20"/>
              </w:rPr>
            </w:pPr>
          </w:p>
        </w:tc>
        <w:tc>
          <w:tcPr>
            <w:tcW w:w="3797" w:type="dxa"/>
          </w:tcPr>
          <w:p w:rsidR="0051624C" w:rsidRPr="0051624C" w:rsidRDefault="00523057" w:rsidP="0051624C">
            <w:pPr>
              <w:jc w:val="left"/>
              <w:rPr>
                <w:rFonts w:eastAsia="Times New Roman" w:cs="Times New Roman"/>
                <w:szCs w:val="20"/>
              </w:rPr>
            </w:pPr>
            <w:r>
              <w:rPr>
                <w:rFonts w:eastAsia="Times New Roman" w:cs="Times New Roman"/>
                <w:szCs w:val="20"/>
              </w:rPr>
              <w:t>Confirmed c</w:t>
            </w:r>
            <w:r w:rsidR="0051624C" w:rsidRPr="0051624C">
              <w:rPr>
                <w:rFonts w:eastAsia="Times New Roman" w:cs="Times New Roman"/>
                <w:szCs w:val="20"/>
              </w:rPr>
              <w:t>ompliant 201</w:t>
            </w:r>
            <w:r w:rsidR="00612243">
              <w:rPr>
                <w:rFonts w:eastAsia="Times New Roman" w:cs="Times New Roman"/>
                <w:szCs w:val="20"/>
              </w:rPr>
              <w:t>8</w:t>
            </w:r>
            <w:r w:rsidR="0051624C" w:rsidRPr="0051624C">
              <w:rPr>
                <w:rFonts w:eastAsia="Times New Roman" w:cs="Times New Roman"/>
                <w:szCs w:val="20"/>
              </w:rPr>
              <w:t>/1</w:t>
            </w:r>
            <w:r w:rsidR="00612243">
              <w:rPr>
                <w:rFonts w:eastAsia="Times New Roman" w:cs="Times New Roman"/>
                <w:szCs w:val="20"/>
              </w:rPr>
              <w:t>9</w:t>
            </w:r>
          </w:p>
          <w:p w:rsidR="0051624C" w:rsidRPr="0051624C" w:rsidRDefault="0051624C" w:rsidP="0051624C">
            <w:pPr>
              <w:jc w:val="left"/>
              <w:rPr>
                <w:rFonts w:eastAsia="Times New Roman" w:cs="Times New Roman"/>
                <w:szCs w:val="20"/>
              </w:rPr>
            </w:pPr>
          </w:p>
          <w:p w:rsidR="0051624C" w:rsidRPr="0051624C" w:rsidRDefault="00E45427" w:rsidP="0051624C">
            <w:pPr>
              <w:jc w:val="left"/>
              <w:rPr>
                <w:rFonts w:eastAsia="Times New Roman" w:cs="Times New Roman"/>
                <w:szCs w:val="20"/>
              </w:rPr>
            </w:pPr>
            <w:r>
              <w:rPr>
                <w:rFonts w:eastAsia="Times New Roman" w:cs="Times New Roman"/>
                <w:szCs w:val="20"/>
              </w:rPr>
              <w:t>The Board acknowledges that there are challenges around</w:t>
            </w:r>
            <w:r w:rsidR="0051624C" w:rsidRPr="0051624C">
              <w:rPr>
                <w:rFonts w:eastAsia="Times New Roman" w:cs="Times New Roman"/>
                <w:szCs w:val="20"/>
              </w:rPr>
              <w:t xml:space="preserve"> recruitment </w:t>
            </w:r>
            <w:r>
              <w:rPr>
                <w:rFonts w:eastAsia="Times New Roman" w:cs="Times New Roman"/>
                <w:szCs w:val="20"/>
              </w:rPr>
              <w:t>due to s</w:t>
            </w:r>
            <w:r w:rsidR="0051624C" w:rsidRPr="0051624C">
              <w:rPr>
                <w:rFonts w:eastAsia="Times New Roman" w:cs="Times New Roman"/>
                <w:szCs w:val="20"/>
              </w:rPr>
              <w:t>hortages across nursing and Junior Doctors in some specialities</w:t>
            </w:r>
            <w:r w:rsidR="002F2042">
              <w:rPr>
                <w:rFonts w:eastAsia="Times New Roman" w:cs="Times New Roman"/>
                <w:szCs w:val="20"/>
              </w:rPr>
              <w:t>.  These shortages are being actively monitored and managed.</w:t>
            </w:r>
            <w:bookmarkStart w:id="0" w:name="_GoBack"/>
            <w:bookmarkEnd w:id="0"/>
          </w:p>
          <w:p w:rsidR="005E133D" w:rsidRPr="0051624C" w:rsidRDefault="005E133D" w:rsidP="00282AC6">
            <w:pPr>
              <w:jc w:val="left"/>
              <w:rPr>
                <w:rFonts w:eastAsia="Times New Roman" w:cs="Times New Roman"/>
                <w:szCs w:val="20"/>
              </w:rPr>
            </w:pPr>
          </w:p>
        </w:tc>
      </w:tr>
      <w:tr w:rsidR="00315B7F" w:rsidTr="00315B7F">
        <w:trPr>
          <w:cantSplit/>
        </w:trPr>
        <w:tc>
          <w:tcPr>
            <w:tcW w:w="1050" w:type="dxa"/>
          </w:tcPr>
          <w:p w:rsidR="00315B7F" w:rsidRPr="005856EF" w:rsidRDefault="00315B7F" w:rsidP="000E2384">
            <w:pPr>
              <w:jc w:val="left"/>
              <w:rPr>
                <w:rFonts w:eastAsia="Times New Roman" w:cs="Times New Roman"/>
                <w:szCs w:val="20"/>
              </w:rPr>
            </w:pPr>
            <w:r>
              <w:rPr>
                <w:rFonts w:eastAsia="Times New Roman" w:cs="Times New Roman"/>
                <w:szCs w:val="20"/>
              </w:rPr>
              <w:t>Governor training</w:t>
            </w:r>
          </w:p>
        </w:tc>
        <w:tc>
          <w:tcPr>
            <w:tcW w:w="9720" w:type="dxa"/>
          </w:tcPr>
          <w:p w:rsidR="00315B7F" w:rsidRPr="00315B7F" w:rsidRDefault="00315B7F" w:rsidP="00523057">
            <w:pPr>
              <w:rPr>
                <w:rFonts w:eastAsia="Times New Roman" w:cs="Times New Roman"/>
                <w:szCs w:val="20"/>
              </w:rPr>
            </w:pPr>
            <w:r w:rsidRPr="00315B7F">
              <w:rPr>
                <w:rFonts w:eastAsia="Times New Roman" w:cs="Times New Roman"/>
                <w:szCs w:val="20"/>
              </w:rPr>
              <w:t xml:space="preserve">The Board is satisfied that during the financial year most recently ended the Trust has provided the necessary training to its Governors, as required in </w:t>
            </w:r>
            <w:r w:rsidR="00282AC6">
              <w:rPr>
                <w:rFonts w:eastAsia="Times New Roman" w:cs="Times New Roman"/>
                <w:szCs w:val="20"/>
              </w:rPr>
              <w:t>S</w:t>
            </w:r>
            <w:r w:rsidRPr="00315B7F">
              <w:rPr>
                <w:rFonts w:eastAsia="Times New Roman" w:cs="Times New Roman"/>
                <w:szCs w:val="20"/>
              </w:rPr>
              <w:t>151(5) of the Health and Social Care Act, to ensure they are equipped with the skills and knowledge they need to undertake their role.</w:t>
            </w:r>
          </w:p>
          <w:p w:rsidR="00315B7F" w:rsidRPr="005856EF" w:rsidRDefault="00315B7F" w:rsidP="00523057">
            <w:pPr>
              <w:rPr>
                <w:rFonts w:eastAsia="Times New Roman" w:cs="Times New Roman"/>
                <w:szCs w:val="20"/>
              </w:rPr>
            </w:pPr>
          </w:p>
        </w:tc>
        <w:tc>
          <w:tcPr>
            <w:tcW w:w="3797" w:type="dxa"/>
          </w:tcPr>
          <w:p w:rsidR="00315B7F" w:rsidRPr="00315B7F" w:rsidRDefault="00523057" w:rsidP="00315B7F">
            <w:pPr>
              <w:jc w:val="left"/>
              <w:rPr>
                <w:rFonts w:eastAsia="Times New Roman" w:cs="Times New Roman"/>
                <w:szCs w:val="20"/>
              </w:rPr>
            </w:pPr>
            <w:r>
              <w:rPr>
                <w:rFonts w:eastAsia="Times New Roman" w:cs="Times New Roman"/>
                <w:szCs w:val="20"/>
              </w:rPr>
              <w:t>Confirmed c</w:t>
            </w:r>
            <w:r w:rsidR="00315B7F" w:rsidRPr="00315B7F">
              <w:rPr>
                <w:rFonts w:eastAsia="Times New Roman" w:cs="Times New Roman"/>
                <w:szCs w:val="20"/>
              </w:rPr>
              <w:t>ompliant</w:t>
            </w:r>
            <w:r w:rsidR="0051624C">
              <w:rPr>
                <w:rFonts w:eastAsia="Times New Roman" w:cs="Times New Roman"/>
                <w:szCs w:val="20"/>
              </w:rPr>
              <w:t xml:space="preserve"> 201</w:t>
            </w:r>
            <w:r w:rsidR="00612243">
              <w:rPr>
                <w:rFonts w:eastAsia="Times New Roman" w:cs="Times New Roman"/>
                <w:szCs w:val="20"/>
              </w:rPr>
              <w:t>8</w:t>
            </w:r>
            <w:r w:rsidR="0051624C">
              <w:rPr>
                <w:rFonts w:eastAsia="Times New Roman" w:cs="Times New Roman"/>
                <w:szCs w:val="20"/>
              </w:rPr>
              <w:t>/1</w:t>
            </w:r>
            <w:r w:rsidR="00612243">
              <w:rPr>
                <w:rFonts w:eastAsia="Times New Roman" w:cs="Times New Roman"/>
                <w:szCs w:val="20"/>
              </w:rPr>
              <w:t>9</w:t>
            </w:r>
          </w:p>
          <w:p w:rsidR="00315B7F" w:rsidRPr="00315B7F" w:rsidRDefault="00315B7F" w:rsidP="00315B7F">
            <w:pPr>
              <w:jc w:val="left"/>
              <w:rPr>
                <w:rFonts w:eastAsia="Times New Roman" w:cs="Times New Roman"/>
                <w:szCs w:val="20"/>
              </w:rPr>
            </w:pPr>
          </w:p>
          <w:p w:rsidR="00315B7F" w:rsidRDefault="00E45427" w:rsidP="00612243">
            <w:pPr>
              <w:jc w:val="left"/>
              <w:rPr>
                <w:rFonts w:eastAsia="Times New Roman" w:cs="Times New Roman"/>
                <w:szCs w:val="20"/>
              </w:rPr>
            </w:pPr>
            <w:r>
              <w:rPr>
                <w:rFonts w:eastAsia="Times New Roman" w:cs="Times New Roman"/>
                <w:szCs w:val="20"/>
              </w:rPr>
              <w:t xml:space="preserve">The Board acknowledges that </w:t>
            </w:r>
            <w:r w:rsidR="00315B7F" w:rsidRPr="00315B7F">
              <w:rPr>
                <w:rFonts w:eastAsia="Times New Roman" w:cs="Times New Roman"/>
                <w:szCs w:val="20"/>
              </w:rPr>
              <w:t xml:space="preserve">there is </w:t>
            </w:r>
            <w:r>
              <w:rPr>
                <w:rFonts w:eastAsia="Times New Roman" w:cs="Times New Roman"/>
                <w:szCs w:val="20"/>
              </w:rPr>
              <w:t xml:space="preserve">work ongoing to develop </w:t>
            </w:r>
            <w:r w:rsidR="00612243">
              <w:rPr>
                <w:rFonts w:eastAsia="Times New Roman" w:cs="Times New Roman"/>
                <w:szCs w:val="20"/>
              </w:rPr>
              <w:t>the</w:t>
            </w:r>
            <w:r w:rsidR="00315B7F" w:rsidRPr="00315B7F">
              <w:rPr>
                <w:rFonts w:eastAsia="Times New Roman" w:cs="Times New Roman"/>
                <w:szCs w:val="20"/>
              </w:rPr>
              <w:t xml:space="preserve"> training programme.  </w:t>
            </w:r>
          </w:p>
          <w:p w:rsidR="00612243" w:rsidRPr="00264D9C" w:rsidRDefault="00612243" w:rsidP="00612243">
            <w:pPr>
              <w:jc w:val="left"/>
              <w:rPr>
                <w:rFonts w:cs="Arial"/>
                <w:color w:val="365F91" w:themeColor="accent1" w:themeShade="BF"/>
                <w:sz w:val="24"/>
                <w:szCs w:val="24"/>
              </w:rPr>
            </w:pPr>
          </w:p>
        </w:tc>
      </w:tr>
    </w:tbl>
    <w:p w:rsidR="005E133D" w:rsidRDefault="005E133D" w:rsidP="005E133D">
      <w:pPr>
        <w:rPr>
          <w:rFonts w:eastAsia="Times New Roman" w:cs="Times New Roman"/>
          <w:sz w:val="24"/>
          <w:szCs w:val="24"/>
        </w:rPr>
      </w:pPr>
    </w:p>
    <w:sectPr w:rsidR="005E133D" w:rsidSect="00EF7ED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54" w:rsidRDefault="00517E54" w:rsidP="00517E54">
      <w:r>
        <w:separator/>
      </w:r>
    </w:p>
  </w:endnote>
  <w:endnote w:type="continuationSeparator" w:id="0">
    <w:p w:rsidR="00517E54" w:rsidRDefault="00517E54" w:rsidP="0051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778344"/>
      <w:docPartObj>
        <w:docPartGallery w:val="Page Numbers (Bottom of Page)"/>
        <w:docPartUnique/>
      </w:docPartObj>
    </w:sdtPr>
    <w:sdtEndPr>
      <w:rPr>
        <w:noProof/>
      </w:rPr>
    </w:sdtEndPr>
    <w:sdtContent>
      <w:p w:rsidR="00517E54" w:rsidRDefault="00517E54">
        <w:pPr>
          <w:pStyle w:val="Footer"/>
          <w:jc w:val="center"/>
        </w:pPr>
        <w:r>
          <w:fldChar w:fldCharType="begin"/>
        </w:r>
        <w:r>
          <w:instrText xml:space="preserve"> PAGE   \* MERGEFORMAT </w:instrText>
        </w:r>
        <w:r>
          <w:fldChar w:fldCharType="separate"/>
        </w:r>
        <w:r w:rsidR="002F2042">
          <w:rPr>
            <w:noProof/>
          </w:rPr>
          <w:t>1</w:t>
        </w:r>
        <w:r>
          <w:rPr>
            <w:noProof/>
          </w:rPr>
          <w:fldChar w:fldCharType="end"/>
        </w:r>
      </w:p>
    </w:sdtContent>
  </w:sdt>
  <w:p w:rsidR="00517E54" w:rsidRDefault="00517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54" w:rsidRDefault="00517E54" w:rsidP="00517E54">
      <w:r>
        <w:separator/>
      </w:r>
    </w:p>
  </w:footnote>
  <w:footnote w:type="continuationSeparator" w:id="0">
    <w:p w:rsidR="00517E54" w:rsidRDefault="00517E54" w:rsidP="00517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156"/>
    <w:multiLevelType w:val="hybridMultilevel"/>
    <w:tmpl w:val="5218FA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25E40"/>
    <w:multiLevelType w:val="hybridMultilevel"/>
    <w:tmpl w:val="9CBA2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511ED9"/>
    <w:multiLevelType w:val="hybridMultilevel"/>
    <w:tmpl w:val="4DFE670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4D586DD9"/>
    <w:multiLevelType w:val="hybridMultilevel"/>
    <w:tmpl w:val="F88C9F1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7FD73629"/>
    <w:multiLevelType w:val="hybridMultilevel"/>
    <w:tmpl w:val="E2B6DDA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3D"/>
    <w:rsid w:val="000059A2"/>
    <w:rsid w:val="00282AC6"/>
    <w:rsid w:val="002F2042"/>
    <w:rsid w:val="0030386F"/>
    <w:rsid w:val="003113DB"/>
    <w:rsid w:val="00315B7F"/>
    <w:rsid w:val="00514F5A"/>
    <w:rsid w:val="0051624C"/>
    <w:rsid w:val="00517E54"/>
    <w:rsid w:val="00523057"/>
    <w:rsid w:val="005856EF"/>
    <w:rsid w:val="005D3031"/>
    <w:rsid w:val="005E133D"/>
    <w:rsid w:val="00612243"/>
    <w:rsid w:val="006476EE"/>
    <w:rsid w:val="006C5B4F"/>
    <w:rsid w:val="0081389D"/>
    <w:rsid w:val="00822268"/>
    <w:rsid w:val="00864A77"/>
    <w:rsid w:val="009A31DC"/>
    <w:rsid w:val="00B533F1"/>
    <w:rsid w:val="00B85C47"/>
    <w:rsid w:val="00CF43EA"/>
    <w:rsid w:val="00D21981"/>
    <w:rsid w:val="00E45427"/>
    <w:rsid w:val="00EF7EDC"/>
    <w:rsid w:val="00F17273"/>
    <w:rsid w:val="00F31411"/>
    <w:rsid w:val="00F63AE2"/>
    <w:rsid w:val="00FE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3D"/>
    <w:pPr>
      <w:ind w:left="720"/>
      <w:contextualSpacing/>
    </w:pPr>
  </w:style>
  <w:style w:type="table" w:styleId="TableGrid">
    <w:name w:val="Table Grid"/>
    <w:basedOn w:val="TableNormal"/>
    <w:uiPriority w:val="59"/>
    <w:rsid w:val="005E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54"/>
    <w:pPr>
      <w:tabs>
        <w:tab w:val="center" w:pos="4513"/>
        <w:tab w:val="right" w:pos="9026"/>
      </w:tabs>
    </w:pPr>
  </w:style>
  <w:style w:type="character" w:customStyle="1" w:styleId="HeaderChar">
    <w:name w:val="Header Char"/>
    <w:basedOn w:val="DefaultParagraphFont"/>
    <w:link w:val="Header"/>
    <w:uiPriority w:val="99"/>
    <w:rsid w:val="00517E54"/>
  </w:style>
  <w:style w:type="paragraph" w:styleId="Footer">
    <w:name w:val="footer"/>
    <w:basedOn w:val="Normal"/>
    <w:link w:val="FooterChar"/>
    <w:uiPriority w:val="99"/>
    <w:unhideWhenUsed/>
    <w:rsid w:val="00517E54"/>
    <w:pPr>
      <w:tabs>
        <w:tab w:val="center" w:pos="4513"/>
        <w:tab w:val="right" w:pos="9026"/>
      </w:tabs>
    </w:pPr>
  </w:style>
  <w:style w:type="character" w:customStyle="1" w:styleId="FooterChar">
    <w:name w:val="Footer Char"/>
    <w:basedOn w:val="DefaultParagraphFont"/>
    <w:link w:val="Footer"/>
    <w:uiPriority w:val="99"/>
    <w:rsid w:val="0051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3D"/>
    <w:pPr>
      <w:ind w:left="720"/>
      <w:contextualSpacing/>
    </w:pPr>
  </w:style>
  <w:style w:type="table" w:styleId="TableGrid">
    <w:name w:val="Table Grid"/>
    <w:basedOn w:val="TableNormal"/>
    <w:uiPriority w:val="59"/>
    <w:rsid w:val="005E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54"/>
    <w:pPr>
      <w:tabs>
        <w:tab w:val="center" w:pos="4513"/>
        <w:tab w:val="right" w:pos="9026"/>
      </w:tabs>
    </w:pPr>
  </w:style>
  <w:style w:type="character" w:customStyle="1" w:styleId="HeaderChar">
    <w:name w:val="Header Char"/>
    <w:basedOn w:val="DefaultParagraphFont"/>
    <w:link w:val="Header"/>
    <w:uiPriority w:val="99"/>
    <w:rsid w:val="00517E54"/>
  </w:style>
  <w:style w:type="paragraph" w:styleId="Footer">
    <w:name w:val="footer"/>
    <w:basedOn w:val="Normal"/>
    <w:link w:val="FooterChar"/>
    <w:uiPriority w:val="99"/>
    <w:unhideWhenUsed/>
    <w:rsid w:val="00517E54"/>
    <w:pPr>
      <w:tabs>
        <w:tab w:val="center" w:pos="4513"/>
        <w:tab w:val="right" w:pos="9026"/>
      </w:tabs>
    </w:pPr>
  </w:style>
  <w:style w:type="character" w:customStyle="1" w:styleId="FooterChar">
    <w:name w:val="Footer Char"/>
    <w:basedOn w:val="DefaultParagraphFont"/>
    <w:link w:val="Footer"/>
    <w:uiPriority w:val="99"/>
    <w:rsid w:val="0051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Hill</dc:creator>
  <cp:lastModifiedBy>Catherine Hill</cp:lastModifiedBy>
  <cp:revision>5</cp:revision>
  <dcterms:created xsi:type="dcterms:W3CDTF">2019-05-02T10:39:00Z</dcterms:created>
  <dcterms:modified xsi:type="dcterms:W3CDTF">2019-05-12T06:50:00Z</dcterms:modified>
</cp:coreProperties>
</file>