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DC4D1" w14:textId="77777777" w:rsidR="0034549F" w:rsidRPr="00AE2A48" w:rsidRDefault="0016691D">
      <w:r>
        <w:rPr>
          <w:noProof/>
          <w:lang w:eastAsia="en-GB"/>
        </w:rPr>
        <mc:AlternateContent>
          <mc:Choice Requires="wps">
            <w:drawing>
              <wp:anchor distT="0" distB="0" distL="114300" distR="114300" simplePos="0" relativeHeight="251658240" behindDoc="0" locked="0" layoutInCell="1" allowOverlap="1" wp14:anchorId="4BDA6429" wp14:editId="144143E7">
                <wp:simplePos x="0" y="0"/>
                <wp:positionH relativeFrom="column">
                  <wp:posOffset>-76200</wp:posOffset>
                </wp:positionH>
                <wp:positionV relativeFrom="paragraph">
                  <wp:posOffset>-469265</wp:posOffset>
                </wp:positionV>
                <wp:extent cx="1169035" cy="328930"/>
                <wp:effectExtent l="0" t="0" r="1206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328930"/>
                        </a:xfrm>
                        <a:prstGeom prst="rect">
                          <a:avLst/>
                        </a:prstGeom>
                        <a:solidFill>
                          <a:srgbClr val="FFFFFF"/>
                        </a:solidFill>
                        <a:ln w="9525">
                          <a:solidFill>
                            <a:srgbClr val="FFFFFF"/>
                          </a:solidFill>
                          <a:miter lim="800000"/>
                          <a:headEnd/>
                          <a:tailEnd/>
                        </a:ln>
                      </wps:spPr>
                      <wps:txbx>
                        <w:txbxContent>
                          <w:p w14:paraId="575B1BCB" w14:textId="4106E893" w:rsidR="0016691D" w:rsidRPr="00765969" w:rsidRDefault="0016691D" w:rsidP="000E01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A6429" id="_x0000_t202" coordsize="21600,21600" o:spt="202" path="m,l,21600r21600,l21600,xe">
                <v:stroke joinstyle="miter"/>
                <v:path gradientshapeok="t" o:connecttype="rect"/>
              </v:shapetype>
              <v:shape id="Text Box 1" o:spid="_x0000_s1026" type="#_x0000_t202" style="position:absolute;margin-left:-6pt;margin-top:-36.95pt;width:92.0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" strokecolor="white">
                <v:textbox>
                  <w:txbxContent>
                    <w:p w14:paraId="575B1BCB" w14:textId="4106E893" w:rsidR="0016691D" w:rsidRPr="00765969" w:rsidRDefault="0016691D" w:rsidP="000E01A5"/>
                  </w:txbxContent>
                </v:textbox>
              </v:shape>
            </w:pict>
          </mc:Fallback>
        </mc:AlternateContent>
      </w:r>
    </w:p>
    <w:p w14:paraId="64345353" w14:textId="77777777" w:rsidR="00181FD5" w:rsidRPr="00AE2A48" w:rsidRDefault="00181FD5"/>
    <w:p w14:paraId="466D8958" w14:textId="77777777" w:rsidR="00181FD5" w:rsidRPr="00AE2A48" w:rsidRDefault="00181FD5"/>
    <w:p w14:paraId="733AC7E9" w14:textId="77777777" w:rsidR="00181FD5" w:rsidRPr="00AE2A48" w:rsidRDefault="00181FD5"/>
    <w:p w14:paraId="311438C5" w14:textId="77777777" w:rsidR="00181FD5" w:rsidRDefault="00181FD5"/>
    <w:p w14:paraId="218BD0AF" w14:textId="77777777" w:rsidR="008E2577" w:rsidRDefault="008E2577"/>
    <w:p w14:paraId="7FFEDEA6" w14:textId="77777777" w:rsidR="008E2577" w:rsidRDefault="008E2577"/>
    <w:p w14:paraId="60A98C0B" w14:textId="77777777" w:rsidR="008E2577" w:rsidRDefault="008E2577"/>
    <w:p w14:paraId="1DCB5B23" w14:textId="77777777" w:rsidR="008E2577" w:rsidRDefault="008E2577"/>
    <w:p w14:paraId="3A971B4E" w14:textId="77777777" w:rsidR="008E2577" w:rsidRDefault="008E2577"/>
    <w:p w14:paraId="4986221E" w14:textId="77777777" w:rsidR="008E2577" w:rsidRDefault="008E2577"/>
    <w:p w14:paraId="23D9A3DC" w14:textId="77777777" w:rsidR="008E2577" w:rsidRDefault="008E2577"/>
    <w:p w14:paraId="0A1E9B48" w14:textId="77777777" w:rsidR="008E2577" w:rsidRDefault="008E2577"/>
    <w:p w14:paraId="4D576FA2" w14:textId="3A69768A" w:rsidR="008E2577" w:rsidRPr="008E2577" w:rsidRDefault="008E2577">
      <w:pPr>
        <w:rPr>
          <w:color w:val="0070C0"/>
          <w:sz w:val="72"/>
          <w:szCs w:val="72"/>
        </w:rPr>
      </w:pPr>
      <w:r w:rsidRPr="008E2577">
        <w:rPr>
          <w:color w:val="0070C0"/>
          <w:sz w:val="72"/>
          <w:szCs w:val="72"/>
        </w:rPr>
        <w:t xml:space="preserve">Workforce </w:t>
      </w:r>
      <w:r w:rsidR="00757A2D">
        <w:rPr>
          <w:color w:val="0070C0"/>
          <w:sz w:val="72"/>
          <w:szCs w:val="72"/>
        </w:rPr>
        <w:t>Disability</w:t>
      </w:r>
    </w:p>
    <w:p w14:paraId="57FFA008" w14:textId="5B12CF65" w:rsidR="008E2577" w:rsidRPr="008E2577" w:rsidRDefault="008E2577">
      <w:pPr>
        <w:rPr>
          <w:color w:val="0070C0"/>
          <w:sz w:val="72"/>
          <w:szCs w:val="72"/>
        </w:rPr>
      </w:pPr>
      <w:r w:rsidRPr="008E2577">
        <w:rPr>
          <w:color w:val="0070C0"/>
          <w:sz w:val="72"/>
          <w:szCs w:val="72"/>
        </w:rPr>
        <w:t>Equality Standard</w:t>
      </w:r>
    </w:p>
    <w:p w14:paraId="711D4825" w14:textId="30423691" w:rsidR="008E2577" w:rsidRPr="008E2577" w:rsidRDefault="008E2577">
      <w:pPr>
        <w:rPr>
          <w:color w:val="0070C0"/>
          <w:sz w:val="72"/>
          <w:szCs w:val="72"/>
        </w:rPr>
      </w:pPr>
      <w:r w:rsidRPr="008E2577">
        <w:rPr>
          <w:color w:val="0070C0"/>
          <w:sz w:val="72"/>
          <w:szCs w:val="72"/>
        </w:rPr>
        <w:t>(W</w:t>
      </w:r>
      <w:r w:rsidR="00757A2D">
        <w:rPr>
          <w:color w:val="0070C0"/>
          <w:sz w:val="72"/>
          <w:szCs w:val="72"/>
        </w:rPr>
        <w:t>D</w:t>
      </w:r>
      <w:r w:rsidRPr="008E2577">
        <w:rPr>
          <w:color w:val="0070C0"/>
          <w:sz w:val="72"/>
          <w:szCs w:val="72"/>
        </w:rPr>
        <w:t>ES)</w:t>
      </w:r>
    </w:p>
    <w:p w14:paraId="013C9C7B" w14:textId="16097287" w:rsidR="008E2577" w:rsidRPr="008E2577" w:rsidRDefault="008E2577">
      <w:pPr>
        <w:rPr>
          <w:sz w:val="44"/>
          <w:szCs w:val="44"/>
        </w:rPr>
      </w:pPr>
      <w:r>
        <w:rPr>
          <w:sz w:val="44"/>
          <w:szCs w:val="44"/>
        </w:rPr>
        <w:t>Annual Report 202</w:t>
      </w:r>
      <w:r w:rsidR="00D23507">
        <w:rPr>
          <w:sz w:val="44"/>
          <w:szCs w:val="44"/>
        </w:rPr>
        <w:t>3/4</w:t>
      </w:r>
    </w:p>
    <w:p w14:paraId="1F532D49" w14:textId="77777777" w:rsidR="008E2577" w:rsidRDefault="008E2577"/>
    <w:p w14:paraId="085A561F" w14:textId="77777777" w:rsidR="008E2577" w:rsidRDefault="008E2577"/>
    <w:p w14:paraId="70C601BD" w14:textId="77777777" w:rsidR="008E2577" w:rsidRDefault="008E2577"/>
    <w:p w14:paraId="1417C877" w14:textId="77777777" w:rsidR="008E2577" w:rsidRDefault="008E2577"/>
    <w:p w14:paraId="0EB1742A" w14:textId="77777777" w:rsidR="008E2577" w:rsidRDefault="008E2577"/>
    <w:p w14:paraId="5CFA3E1A" w14:textId="77777777" w:rsidR="008E2577" w:rsidRDefault="008E2577"/>
    <w:p w14:paraId="71AD71D3" w14:textId="77777777" w:rsidR="008E2577" w:rsidRDefault="008E2577"/>
    <w:p w14:paraId="3244726A" w14:textId="77777777" w:rsidR="008E2577" w:rsidRDefault="008E2577"/>
    <w:p w14:paraId="471A8D57" w14:textId="77777777" w:rsidR="008E2577" w:rsidRDefault="008E2577"/>
    <w:p w14:paraId="6AF580EC" w14:textId="77777777" w:rsidR="008E2577" w:rsidRDefault="008E2577"/>
    <w:p w14:paraId="60D85447" w14:textId="77777777" w:rsidR="008E2577" w:rsidRDefault="008E2577"/>
    <w:p w14:paraId="5FCDDF56" w14:textId="77777777" w:rsidR="008E2577" w:rsidRDefault="008E2577"/>
    <w:p w14:paraId="5C9F18B9" w14:textId="77777777" w:rsidR="008E2577" w:rsidRDefault="008E2577"/>
    <w:p w14:paraId="153CD1A7" w14:textId="77777777" w:rsidR="008E2577" w:rsidRDefault="008E2577"/>
    <w:p w14:paraId="1683A4AE" w14:textId="77777777" w:rsidR="008E2577" w:rsidRDefault="008E2577"/>
    <w:p w14:paraId="76413EE1" w14:textId="77777777" w:rsidR="008E2577" w:rsidRDefault="008E2577"/>
    <w:p w14:paraId="2D567AB3" w14:textId="77777777" w:rsidR="008E2577" w:rsidRDefault="008E2577"/>
    <w:p w14:paraId="519ECD43" w14:textId="77777777" w:rsidR="008E2577" w:rsidRDefault="008E2577"/>
    <w:p w14:paraId="1E9D9B60" w14:textId="77777777" w:rsidR="008E2577" w:rsidRDefault="008E2577"/>
    <w:p w14:paraId="072BB3CA" w14:textId="77777777" w:rsidR="008E2577" w:rsidRDefault="008E2577"/>
    <w:p w14:paraId="4AD71AB1" w14:textId="77777777" w:rsidR="008E2577" w:rsidRDefault="008E2577"/>
    <w:p w14:paraId="45F7F4CC" w14:textId="77777777" w:rsidR="008E2577" w:rsidRDefault="008E2577"/>
    <w:p w14:paraId="7497E6DF" w14:textId="77777777" w:rsidR="008E2577" w:rsidRDefault="008E2577"/>
    <w:p w14:paraId="28196DD6" w14:textId="77777777" w:rsidR="008E2577" w:rsidRDefault="008E2577"/>
    <w:p w14:paraId="378FEA48" w14:textId="77777777" w:rsidR="008E2577" w:rsidRDefault="008E2577"/>
    <w:p w14:paraId="6A3D7EFF" w14:textId="77777777" w:rsidR="008E2577" w:rsidRDefault="008E2577"/>
    <w:p w14:paraId="6775E8A8" w14:textId="77777777" w:rsidR="008E2577" w:rsidRDefault="008E2577"/>
    <w:p w14:paraId="009A6633" w14:textId="1C26AB34" w:rsidR="008E2577" w:rsidRPr="008E2577" w:rsidRDefault="008E2577">
      <w:pPr>
        <w:rPr>
          <w:b/>
          <w:bCs/>
          <w:color w:val="0070C0"/>
          <w:sz w:val="28"/>
          <w:szCs w:val="28"/>
        </w:rPr>
      </w:pPr>
      <w:r w:rsidRPr="008E2577">
        <w:rPr>
          <w:b/>
          <w:bCs/>
          <w:color w:val="0070C0"/>
          <w:sz w:val="28"/>
          <w:szCs w:val="28"/>
        </w:rPr>
        <w:lastRenderedPageBreak/>
        <w:t>Contents</w:t>
      </w:r>
    </w:p>
    <w:p w14:paraId="073CC3B6" w14:textId="77777777" w:rsidR="008E2577" w:rsidRDefault="008E2577"/>
    <w:p w14:paraId="7153717B" w14:textId="77777777" w:rsidR="008E2577" w:rsidRDefault="008E2577"/>
    <w:sdt>
      <w:sdtPr>
        <w:rPr>
          <w:rFonts w:asciiTheme="minorHAnsi" w:eastAsiaTheme="minorEastAsia" w:hAnsiTheme="minorHAnsi" w:cs="Times New Roman"/>
          <w:color w:val="auto"/>
          <w:sz w:val="22"/>
          <w:szCs w:val="22"/>
        </w:rPr>
        <w:id w:val="382378024"/>
        <w:docPartObj>
          <w:docPartGallery w:val="Table of Contents"/>
          <w:docPartUnique/>
        </w:docPartObj>
      </w:sdtPr>
      <w:sdtContent>
        <w:p w14:paraId="35886309" w14:textId="77777777" w:rsidR="00941CB1" w:rsidRDefault="00941CB1" w:rsidP="00941CB1">
          <w:pPr>
            <w:pStyle w:val="TOCHeading"/>
          </w:pPr>
          <w:r>
            <w:t>Table of Contents</w:t>
          </w:r>
        </w:p>
        <w:p w14:paraId="02FDE566" w14:textId="77777777" w:rsidR="00EE2183" w:rsidRPr="00EE2183" w:rsidRDefault="00EE2183" w:rsidP="00EE2183">
          <w:pPr>
            <w:rPr>
              <w:lang w:val="en-US"/>
            </w:rPr>
          </w:pPr>
        </w:p>
        <w:p w14:paraId="11AF7E61" w14:textId="42BBA4F8" w:rsidR="00941CB1" w:rsidRDefault="001B7B58" w:rsidP="00FE0C25">
          <w:pPr>
            <w:pStyle w:val="TOC2"/>
            <w:ind w:left="0"/>
          </w:pPr>
          <w:r>
            <w:t>Introduction</w:t>
          </w:r>
          <w:r w:rsidR="00941CB1">
            <w:ptab w:relativeTo="margin" w:alignment="right" w:leader="dot"/>
          </w:r>
          <w:r w:rsidR="00EE2183">
            <w:t>3</w:t>
          </w:r>
        </w:p>
        <w:p w14:paraId="14901C0B" w14:textId="55545266" w:rsidR="00941CB1" w:rsidRDefault="00FE0C25" w:rsidP="00FE0C25">
          <w:pPr>
            <w:pStyle w:val="TOC3"/>
            <w:ind w:left="0"/>
          </w:pPr>
          <w:r>
            <w:t>W</w:t>
          </w:r>
          <w:r w:rsidR="001B544A">
            <w:t>D</w:t>
          </w:r>
          <w:r>
            <w:t xml:space="preserve">ES </w:t>
          </w:r>
          <w:r w:rsidR="001B7B58">
            <w:t>Data 202</w:t>
          </w:r>
          <w:r w:rsidR="00D23507">
            <w:t>3/24</w:t>
          </w:r>
          <w:r w:rsidR="00941CB1">
            <w:ptab w:relativeTo="margin" w:alignment="right" w:leader="dot"/>
          </w:r>
          <w:r w:rsidR="00C14450">
            <w:t>4</w:t>
          </w:r>
        </w:p>
        <w:p w14:paraId="751232AF" w14:textId="303E5E1E" w:rsidR="00EE2183" w:rsidRDefault="00EE2183" w:rsidP="001B7B58">
          <w:pPr>
            <w:pStyle w:val="TOC2"/>
            <w:ind w:left="0"/>
          </w:pPr>
          <w:r>
            <w:t>W</w:t>
          </w:r>
          <w:r w:rsidR="001B544A">
            <w:t>D</w:t>
          </w:r>
          <w:r>
            <w:t>ES Progress 202</w:t>
          </w:r>
          <w:r w:rsidR="00D23507">
            <w:t>3/24</w:t>
          </w:r>
          <w:r w:rsidR="00C14450">
            <w:t>…………………………………………………………………………………………………………………………………………….</w:t>
          </w:r>
          <w:r w:rsidR="00995920">
            <w:t xml:space="preserve">  </w:t>
          </w:r>
          <w:r w:rsidR="00990C41">
            <w:t>8</w:t>
          </w:r>
        </w:p>
        <w:p w14:paraId="6AB325C8" w14:textId="12DC919A" w:rsidR="00941CB1" w:rsidRDefault="00EE2183" w:rsidP="00EE2183">
          <w:pPr>
            <w:pStyle w:val="TOC3"/>
            <w:ind w:left="0"/>
          </w:pPr>
          <w:r>
            <w:t>Appendix 1- W</w:t>
          </w:r>
          <w:r w:rsidR="001B544A">
            <w:t>D</w:t>
          </w:r>
          <w:r>
            <w:t>ES Action Plan 202</w:t>
          </w:r>
          <w:r w:rsidR="00D23507">
            <w:t>4/35</w:t>
          </w:r>
          <w:r w:rsidR="00941CB1">
            <w:ptab w:relativeTo="margin" w:alignment="right" w:leader="dot"/>
          </w:r>
          <w:r w:rsidR="00031110">
            <w:t>11</w:t>
          </w:r>
        </w:p>
      </w:sdtContent>
    </w:sdt>
    <w:p w14:paraId="6839E82E" w14:textId="77777777" w:rsidR="008E2577" w:rsidRDefault="008E2577"/>
    <w:p w14:paraId="12BBE1C9" w14:textId="77777777" w:rsidR="008E2577" w:rsidRDefault="008E2577"/>
    <w:p w14:paraId="21BC674E" w14:textId="77777777" w:rsidR="008E2577" w:rsidRDefault="008E2577"/>
    <w:p w14:paraId="04801BE3" w14:textId="77777777" w:rsidR="008E2577" w:rsidRDefault="008E2577"/>
    <w:p w14:paraId="2BE8DC73" w14:textId="77777777" w:rsidR="008E2577" w:rsidRDefault="008E2577"/>
    <w:p w14:paraId="4B215E70" w14:textId="77777777" w:rsidR="008E2577" w:rsidRDefault="008E2577"/>
    <w:p w14:paraId="1D168E61" w14:textId="77777777" w:rsidR="008E2577" w:rsidRDefault="008E2577"/>
    <w:p w14:paraId="72AAF82B" w14:textId="77777777" w:rsidR="008E2577" w:rsidRDefault="008E2577"/>
    <w:p w14:paraId="1E1D8C67" w14:textId="77777777" w:rsidR="008E2577" w:rsidRDefault="008E2577"/>
    <w:p w14:paraId="0E5262B7" w14:textId="77777777" w:rsidR="008E2577" w:rsidRDefault="008E2577"/>
    <w:p w14:paraId="1E2269C3" w14:textId="77777777" w:rsidR="008E2577" w:rsidRDefault="008E2577"/>
    <w:p w14:paraId="1C74849D" w14:textId="77777777" w:rsidR="008E2577" w:rsidRDefault="008E2577"/>
    <w:p w14:paraId="33AF486A" w14:textId="77777777" w:rsidR="008E2577" w:rsidRDefault="008E2577"/>
    <w:p w14:paraId="6B850FA9" w14:textId="77777777" w:rsidR="008E2577" w:rsidRDefault="008E2577"/>
    <w:p w14:paraId="7CFF9A97" w14:textId="77777777" w:rsidR="008E2577" w:rsidRDefault="008E2577"/>
    <w:p w14:paraId="7EF26782" w14:textId="77777777" w:rsidR="008E2577" w:rsidRDefault="008E2577"/>
    <w:p w14:paraId="423C6AB6" w14:textId="77777777" w:rsidR="008E2577" w:rsidRDefault="008E2577"/>
    <w:p w14:paraId="1CF0BE1F" w14:textId="77777777" w:rsidR="008E2577" w:rsidRDefault="008E2577"/>
    <w:p w14:paraId="3C7D9710" w14:textId="77777777" w:rsidR="008E2577" w:rsidRDefault="008E2577"/>
    <w:p w14:paraId="13066B82" w14:textId="77777777" w:rsidR="008E2577" w:rsidRDefault="008E2577"/>
    <w:p w14:paraId="3E73670A" w14:textId="77777777" w:rsidR="008E2577" w:rsidRDefault="008E2577"/>
    <w:p w14:paraId="2218CB53" w14:textId="77777777" w:rsidR="008E2577" w:rsidRDefault="008E2577"/>
    <w:p w14:paraId="3A7DE1BE" w14:textId="77777777" w:rsidR="008E2577" w:rsidRDefault="008E2577"/>
    <w:p w14:paraId="54E53340" w14:textId="77777777" w:rsidR="008E2577" w:rsidRDefault="008E2577"/>
    <w:p w14:paraId="359BB95E" w14:textId="77777777" w:rsidR="008E2577" w:rsidRDefault="008E2577"/>
    <w:p w14:paraId="0A79C223" w14:textId="77777777" w:rsidR="008E2577" w:rsidRDefault="008E2577"/>
    <w:p w14:paraId="754A31A0" w14:textId="77777777" w:rsidR="008E2577" w:rsidRDefault="008E2577"/>
    <w:p w14:paraId="61902D92" w14:textId="77777777" w:rsidR="008E2577" w:rsidRDefault="008E2577"/>
    <w:p w14:paraId="3F60F30E" w14:textId="77777777" w:rsidR="008E2577" w:rsidRDefault="008E2577"/>
    <w:p w14:paraId="48CB64E5" w14:textId="77777777" w:rsidR="008E2577" w:rsidRDefault="008E2577"/>
    <w:p w14:paraId="664C3C45" w14:textId="77777777" w:rsidR="008E2577" w:rsidRDefault="008E2577"/>
    <w:p w14:paraId="42E5D650" w14:textId="77777777" w:rsidR="008E2577" w:rsidRDefault="008E2577"/>
    <w:p w14:paraId="04439E62" w14:textId="77777777" w:rsidR="008E2577" w:rsidRDefault="008E2577"/>
    <w:p w14:paraId="2D93FD5E" w14:textId="77777777" w:rsidR="008E2577" w:rsidRDefault="008E2577"/>
    <w:p w14:paraId="3F034F84" w14:textId="77777777" w:rsidR="008E2577" w:rsidRDefault="008E2577"/>
    <w:p w14:paraId="2AF174BF" w14:textId="77777777" w:rsidR="008E2577" w:rsidRDefault="008E2577"/>
    <w:p w14:paraId="243B2F70" w14:textId="77777777" w:rsidR="008E2577" w:rsidRDefault="008E2577"/>
    <w:p w14:paraId="0E0525C6" w14:textId="77777777" w:rsidR="008E2577" w:rsidRDefault="008E2577"/>
    <w:p w14:paraId="2CC7F986" w14:textId="77777777" w:rsidR="008E2577" w:rsidRDefault="008E2577"/>
    <w:p w14:paraId="36AEB4B9" w14:textId="3EDFDF2A" w:rsidR="00357A8A" w:rsidRDefault="00F45479" w:rsidP="008E2577">
      <w:pPr>
        <w:spacing w:line="276" w:lineRule="auto"/>
        <w:rPr>
          <w:b/>
          <w:bCs/>
          <w:color w:val="0070C0"/>
          <w:sz w:val="28"/>
          <w:szCs w:val="28"/>
        </w:rPr>
      </w:pPr>
      <w:r>
        <w:rPr>
          <w:b/>
          <w:bCs/>
          <w:color w:val="0070C0"/>
          <w:sz w:val="28"/>
          <w:szCs w:val="28"/>
        </w:rPr>
        <w:lastRenderedPageBreak/>
        <w:t>Introduction</w:t>
      </w:r>
    </w:p>
    <w:p w14:paraId="3D22DDF4" w14:textId="77777777" w:rsidR="008E2577" w:rsidRPr="001A1269" w:rsidRDefault="008E2577" w:rsidP="008E2577">
      <w:pPr>
        <w:spacing w:line="276" w:lineRule="auto"/>
        <w:rPr>
          <w:rFonts w:cs="Arial"/>
          <w:b/>
          <w:bCs/>
          <w:color w:val="0070C0"/>
          <w:sz w:val="28"/>
          <w:szCs w:val="28"/>
        </w:rPr>
      </w:pPr>
    </w:p>
    <w:p w14:paraId="230B0918" w14:textId="44F1279F" w:rsidR="001A1269" w:rsidRPr="001A1269" w:rsidRDefault="001A1269" w:rsidP="001A1269">
      <w:pPr>
        <w:spacing w:after="200" w:line="276" w:lineRule="auto"/>
        <w:rPr>
          <w:rFonts w:eastAsiaTheme="minorHAnsi" w:cs="Arial"/>
          <w:color w:val="231F20"/>
          <w:shd w:val="clear" w:color="auto" w:fill="FFFFFF"/>
        </w:rPr>
      </w:pPr>
      <w:r w:rsidRPr="001A1269">
        <w:rPr>
          <w:rFonts w:eastAsiaTheme="minorHAnsi" w:cs="Arial"/>
          <w:color w:val="231F20"/>
          <w:shd w:val="clear" w:color="auto" w:fill="FFFFFF"/>
        </w:rPr>
        <w:t xml:space="preserve">We are committed to building a workforce which is valued and whose diversity reflects the communities we serve, enabling as </w:t>
      </w:r>
      <w:r w:rsidR="00E40D58">
        <w:rPr>
          <w:rFonts w:eastAsiaTheme="minorHAnsi" w:cs="Arial"/>
          <w:color w:val="231F20"/>
          <w:shd w:val="clear" w:color="auto" w:fill="FFFFFF"/>
        </w:rPr>
        <w:t>a</w:t>
      </w:r>
      <w:r w:rsidRPr="001A1269">
        <w:rPr>
          <w:rFonts w:eastAsiaTheme="minorHAnsi" w:cs="Arial"/>
          <w:color w:val="231F20"/>
          <w:shd w:val="clear" w:color="auto" w:fill="FFFFFF"/>
        </w:rPr>
        <w:t>Trust to deliver the best healthcare to those communities.</w:t>
      </w:r>
    </w:p>
    <w:p w14:paraId="58B811C3" w14:textId="321F389B" w:rsidR="001A1269" w:rsidRDefault="001A1269" w:rsidP="001A1269">
      <w:pPr>
        <w:rPr>
          <w:rFonts w:eastAsiaTheme="minorHAnsi" w:cs="Arial"/>
          <w:color w:val="231F20"/>
          <w:shd w:val="clear" w:color="auto" w:fill="FFFFFF"/>
        </w:rPr>
      </w:pPr>
      <w:r w:rsidRPr="001A1269">
        <w:rPr>
          <w:rFonts w:cs="Arial"/>
          <w:bCs/>
        </w:rPr>
        <w:t>The W</w:t>
      </w:r>
      <w:r w:rsidR="00316A11">
        <w:rPr>
          <w:rFonts w:cs="Arial"/>
          <w:bCs/>
        </w:rPr>
        <w:t>DES</w:t>
      </w:r>
      <w:r w:rsidRPr="001A1269">
        <w:rPr>
          <w:rFonts w:cs="Arial"/>
          <w:bCs/>
        </w:rPr>
        <w:t xml:space="preserve"> report enables the Trust to publish data on the employment experiences of </w:t>
      </w:r>
      <w:r w:rsidR="00FC56B8" w:rsidRPr="001A1269">
        <w:rPr>
          <w:rFonts w:cs="Arial"/>
          <w:bCs/>
        </w:rPr>
        <w:t xml:space="preserve">our </w:t>
      </w:r>
      <w:r w:rsidR="00FC56B8">
        <w:rPr>
          <w:rFonts w:cs="Arial"/>
          <w:bCs/>
        </w:rPr>
        <w:t>disabled</w:t>
      </w:r>
      <w:r w:rsidRPr="001A1269">
        <w:rPr>
          <w:rFonts w:cs="Arial"/>
          <w:bCs/>
        </w:rPr>
        <w:t xml:space="preserve"> staff compared to our </w:t>
      </w:r>
      <w:r w:rsidR="00417A0E">
        <w:rPr>
          <w:rFonts w:cs="Arial"/>
          <w:bCs/>
        </w:rPr>
        <w:t>non-disabled</w:t>
      </w:r>
      <w:r w:rsidRPr="001A1269">
        <w:rPr>
          <w:rFonts w:cs="Arial"/>
          <w:bCs/>
        </w:rPr>
        <w:t xml:space="preserve"> staff.</w:t>
      </w:r>
      <w:r w:rsidRPr="001A1269">
        <w:rPr>
          <w:rFonts w:eastAsiaTheme="minorHAnsi" w:cs="Arial"/>
          <w:color w:val="231F20"/>
          <w:shd w:val="clear" w:color="auto" w:fill="FFFFFF"/>
        </w:rPr>
        <w:t xml:space="preserve"> </w:t>
      </w:r>
      <w:r>
        <w:rPr>
          <w:rFonts w:eastAsiaTheme="minorHAnsi" w:cs="Arial"/>
          <w:color w:val="231F20"/>
          <w:shd w:val="clear" w:color="auto" w:fill="FFFFFF"/>
        </w:rPr>
        <w:t>As we continue to develop and deliver our Trust People Plan, it is vital that we foster and grow a culture of inclusion and belonging.</w:t>
      </w:r>
    </w:p>
    <w:p w14:paraId="505B5435" w14:textId="77777777" w:rsidR="00CE3AF1" w:rsidRDefault="00CE3AF1" w:rsidP="001A1269">
      <w:pPr>
        <w:rPr>
          <w:rFonts w:eastAsiaTheme="minorHAnsi" w:cs="Arial"/>
          <w:color w:val="231F20"/>
          <w:shd w:val="clear" w:color="auto" w:fill="FFFFFF"/>
        </w:rPr>
      </w:pPr>
    </w:p>
    <w:p w14:paraId="2532603D" w14:textId="77777777" w:rsidR="00CE3AF1" w:rsidRDefault="00CE3AF1" w:rsidP="00CE3AF1">
      <w:pPr>
        <w:spacing w:line="276" w:lineRule="auto"/>
      </w:pPr>
      <w:r>
        <w:t xml:space="preserve">Throughout this report you will see the term disabled used. The WDES uses the term disability in the context of the social model of disability which is defined as follows: </w:t>
      </w:r>
    </w:p>
    <w:p w14:paraId="18A2C8A6" w14:textId="77777777" w:rsidR="00CE3AF1" w:rsidRDefault="00CE3AF1" w:rsidP="00CE3AF1">
      <w:pPr>
        <w:spacing w:line="276" w:lineRule="auto"/>
      </w:pPr>
    </w:p>
    <w:p w14:paraId="37F83C88" w14:textId="77777777" w:rsidR="00CE3AF1" w:rsidRDefault="00CE3AF1" w:rsidP="00CE3AF1">
      <w:pPr>
        <w:spacing w:line="276" w:lineRule="auto"/>
        <w:ind w:left="720"/>
      </w:pPr>
      <w:r w:rsidRPr="00E40D58">
        <w:rPr>
          <w:i/>
          <w:iCs/>
        </w:rPr>
        <w:t>A person is disabled by failure of an organisation or society to make adjustments that remove barriers, for example, changes to the environment, ways of doing things or attitudes</w:t>
      </w:r>
      <w:r>
        <w:t>.</w:t>
      </w:r>
    </w:p>
    <w:p w14:paraId="4936F809" w14:textId="77777777" w:rsidR="00CE3AF1" w:rsidRDefault="00CE3AF1" w:rsidP="00CE3AF1">
      <w:pPr>
        <w:spacing w:line="276" w:lineRule="auto"/>
        <w:rPr>
          <w:szCs w:val="22"/>
        </w:rPr>
      </w:pPr>
    </w:p>
    <w:p w14:paraId="3825C124" w14:textId="6ECE2407" w:rsidR="00CE3AF1" w:rsidRPr="00CE3AF1" w:rsidRDefault="00CE3AF1" w:rsidP="001A1269">
      <w:pPr>
        <w:rPr>
          <w:rFonts w:eastAsiaTheme="minorHAnsi" w:cs="Arial"/>
          <w:b/>
          <w:bCs/>
          <w:color w:val="231F20"/>
          <w:shd w:val="clear" w:color="auto" w:fill="FFFFFF"/>
        </w:rPr>
      </w:pPr>
      <w:r>
        <w:rPr>
          <w:rFonts w:eastAsiaTheme="minorHAnsi" w:cs="Arial"/>
          <w:b/>
          <w:bCs/>
          <w:color w:val="231F20"/>
          <w:shd w:val="clear" w:color="auto" w:fill="FFFFFF"/>
        </w:rPr>
        <w:t>2023 WDES Results</w:t>
      </w:r>
    </w:p>
    <w:p w14:paraId="30A2F029" w14:textId="77777777" w:rsidR="00CE3AF1" w:rsidRDefault="00CE3AF1" w:rsidP="00CE3AF1">
      <w:pPr>
        <w:pStyle w:val="ListParagraph0"/>
        <w:ind w:left="360"/>
        <w:rPr>
          <w:b/>
          <w:bCs/>
          <w:szCs w:val="22"/>
        </w:rPr>
      </w:pPr>
    </w:p>
    <w:p w14:paraId="75E40F8F" w14:textId="77777777" w:rsidR="00CE3AF1" w:rsidRDefault="00CE3AF1" w:rsidP="00CE3AF1">
      <w:pPr>
        <w:jc w:val="both"/>
      </w:pPr>
      <w:r w:rsidRPr="00C308E0">
        <w:rPr>
          <w:szCs w:val="22"/>
        </w:rPr>
        <w:t xml:space="preserve">The 2023 </w:t>
      </w:r>
      <w:r>
        <w:rPr>
          <w:szCs w:val="22"/>
        </w:rPr>
        <w:t>WDES results demonstrate</w:t>
      </w:r>
      <w:r w:rsidRPr="00C308E0">
        <w:rPr>
          <w:szCs w:val="22"/>
        </w:rPr>
        <w:t xml:space="preserve"> improvements </w:t>
      </w:r>
      <w:r>
        <w:rPr>
          <w:szCs w:val="22"/>
        </w:rPr>
        <w:t>in</w:t>
      </w:r>
      <w:r w:rsidRPr="00C308E0">
        <w:rPr>
          <w:szCs w:val="22"/>
        </w:rPr>
        <w:t xml:space="preserve"> eight out of the ten metric areas. </w:t>
      </w:r>
      <w:r>
        <w:rPr>
          <w:szCs w:val="22"/>
        </w:rPr>
        <w:t>These areas include</w:t>
      </w:r>
      <w:r>
        <w:t xml:space="preserve"> experiences of bullying and harassment from managers (-2%), experiences of bullying and harassment from members of the workforce (-2%), staff feeling that their work is valued (+8.4%), feeling that the Trust provides equal opportunities for career progression (+7.4%) and staff sharing that they have a disability (+1.3%) which is again encouraging.</w:t>
      </w:r>
    </w:p>
    <w:p w14:paraId="4935E9C5" w14:textId="77777777" w:rsidR="00CE3AF1" w:rsidRDefault="00CE3AF1" w:rsidP="00CE3AF1">
      <w:pPr>
        <w:jc w:val="both"/>
        <w:rPr>
          <w:szCs w:val="22"/>
        </w:rPr>
      </w:pPr>
    </w:p>
    <w:p w14:paraId="3455F81E" w14:textId="77777777" w:rsidR="00CE3AF1" w:rsidRPr="00C308E0" w:rsidRDefault="00CE3AF1" w:rsidP="00CE3AF1">
      <w:pPr>
        <w:rPr>
          <w:szCs w:val="22"/>
        </w:rPr>
      </w:pPr>
      <w:r w:rsidRPr="00C308E0">
        <w:rPr>
          <w:szCs w:val="22"/>
        </w:rPr>
        <w:t xml:space="preserve">Progress areas relating to </w:t>
      </w:r>
      <w:r>
        <w:rPr>
          <w:szCs w:val="22"/>
        </w:rPr>
        <w:t>disabled</w:t>
      </w:r>
      <w:r w:rsidRPr="00C308E0">
        <w:rPr>
          <w:szCs w:val="22"/>
        </w:rPr>
        <w:t xml:space="preserve"> staff or applicants are as follows.</w:t>
      </w:r>
    </w:p>
    <w:p w14:paraId="611C70A9" w14:textId="77777777" w:rsidR="00CE3AF1" w:rsidRDefault="00CE3AF1" w:rsidP="00CE3AF1">
      <w:pPr>
        <w:pStyle w:val="ListParagraph0"/>
        <w:ind w:left="360"/>
        <w:rPr>
          <w:szCs w:val="22"/>
        </w:rPr>
      </w:pPr>
    </w:p>
    <w:p w14:paraId="1B1AF477" w14:textId="77777777" w:rsidR="00CE3AF1" w:rsidRPr="00C308E0" w:rsidRDefault="00CE3AF1" w:rsidP="00CE3AF1">
      <w:pPr>
        <w:pStyle w:val="ListParagraph0"/>
        <w:numPr>
          <w:ilvl w:val="0"/>
          <w:numId w:val="34"/>
        </w:numPr>
        <w:rPr>
          <w:szCs w:val="22"/>
        </w:rPr>
      </w:pPr>
      <w:r w:rsidRPr="00C308E0">
        <w:rPr>
          <w:szCs w:val="22"/>
        </w:rPr>
        <w:t xml:space="preserve">The number of staff who have recorded a disability or long-term health condition via </w:t>
      </w:r>
      <w:r>
        <w:rPr>
          <w:szCs w:val="22"/>
        </w:rPr>
        <w:t>ESR</w:t>
      </w:r>
      <w:r w:rsidRPr="00C308E0">
        <w:rPr>
          <w:szCs w:val="22"/>
        </w:rPr>
        <w:t xml:space="preserve"> has increased by 1.3% to 7.5%.</w:t>
      </w:r>
    </w:p>
    <w:p w14:paraId="74213060" w14:textId="77777777" w:rsidR="00CE3AF1" w:rsidRPr="00C308E0" w:rsidRDefault="00CE3AF1" w:rsidP="00CE3AF1">
      <w:pPr>
        <w:pStyle w:val="ListParagraph0"/>
        <w:numPr>
          <w:ilvl w:val="0"/>
          <w:numId w:val="34"/>
        </w:numPr>
        <w:rPr>
          <w:szCs w:val="22"/>
        </w:rPr>
      </w:pPr>
      <w:r w:rsidRPr="00C308E0">
        <w:rPr>
          <w:szCs w:val="22"/>
        </w:rPr>
        <w:t xml:space="preserve">The probability of </w:t>
      </w:r>
      <w:r>
        <w:rPr>
          <w:szCs w:val="22"/>
        </w:rPr>
        <w:t>d</w:t>
      </w:r>
      <w:r w:rsidRPr="00C308E0">
        <w:rPr>
          <w:szCs w:val="22"/>
        </w:rPr>
        <w:t>isabled applicants being appointed following shortlisting has increased</w:t>
      </w:r>
      <w:r>
        <w:rPr>
          <w:szCs w:val="22"/>
        </w:rPr>
        <w:t xml:space="preserve"> to 0.87. This is</w:t>
      </w:r>
      <w:r w:rsidRPr="00875BC0">
        <w:rPr>
          <w:szCs w:val="22"/>
        </w:rPr>
        <w:t xml:space="preserve"> now within the national range aiming to be within 0.8 and 1.25.</w:t>
      </w:r>
    </w:p>
    <w:p w14:paraId="3849C717" w14:textId="77777777" w:rsidR="00CE3AF1" w:rsidRPr="00C308E0" w:rsidRDefault="00CE3AF1" w:rsidP="00CE3AF1">
      <w:pPr>
        <w:pStyle w:val="ListParagraph0"/>
        <w:numPr>
          <w:ilvl w:val="0"/>
          <w:numId w:val="34"/>
        </w:numPr>
        <w:rPr>
          <w:szCs w:val="22"/>
        </w:rPr>
      </w:pPr>
      <w:r w:rsidRPr="00C308E0">
        <w:rPr>
          <w:szCs w:val="22"/>
        </w:rPr>
        <w:t>The number of staff entering the formal capability process on the grounds of performance has reduced to zero.</w:t>
      </w:r>
    </w:p>
    <w:p w14:paraId="01678CB5" w14:textId="77777777" w:rsidR="00CE3AF1" w:rsidRPr="00C308E0" w:rsidRDefault="00CE3AF1" w:rsidP="00CE3AF1">
      <w:pPr>
        <w:pStyle w:val="ListParagraph0"/>
        <w:numPr>
          <w:ilvl w:val="0"/>
          <w:numId w:val="34"/>
        </w:numPr>
        <w:rPr>
          <w:szCs w:val="22"/>
        </w:rPr>
      </w:pPr>
      <w:r w:rsidRPr="00C308E0">
        <w:rPr>
          <w:szCs w:val="22"/>
        </w:rPr>
        <w:t>The percentage of staff experiencing bullying or abuse from patients, relatives or the public has decreased slightly (0.3%).</w:t>
      </w:r>
    </w:p>
    <w:p w14:paraId="7C8DBCF0" w14:textId="77777777" w:rsidR="00CE3AF1" w:rsidRPr="00C308E0" w:rsidRDefault="00CE3AF1" w:rsidP="00CE3AF1">
      <w:pPr>
        <w:pStyle w:val="ListParagraph0"/>
        <w:numPr>
          <w:ilvl w:val="0"/>
          <w:numId w:val="34"/>
        </w:numPr>
        <w:rPr>
          <w:szCs w:val="22"/>
        </w:rPr>
      </w:pPr>
      <w:r w:rsidRPr="00C308E0">
        <w:rPr>
          <w:szCs w:val="22"/>
        </w:rPr>
        <w:t>The reported experiences of bullying or harassment from a manager has reduced by 2.5% and reported experiences of bullying and harassment from colleagues has reduced by 2.6%.</w:t>
      </w:r>
    </w:p>
    <w:p w14:paraId="64964470" w14:textId="77777777" w:rsidR="00CE3AF1" w:rsidRPr="00C308E0" w:rsidRDefault="00CE3AF1" w:rsidP="00CE3AF1">
      <w:pPr>
        <w:pStyle w:val="ListParagraph0"/>
        <w:numPr>
          <w:ilvl w:val="0"/>
          <w:numId w:val="34"/>
        </w:numPr>
        <w:rPr>
          <w:szCs w:val="22"/>
        </w:rPr>
      </w:pPr>
      <w:r w:rsidRPr="00C308E0">
        <w:rPr>
          <w:szCs w:val="22"/>
        </w:rPr>
        <w:t xml:space="preserve">A 7.4% increase in the percentage of </w:t>
      </w:r>
      <w:r>
        <w:rPr>
          <w:szCs w:val="22"/>
        </w:rPr>
        <w:t>d</w:t>
      </w:r>
      <w:r w:rsidRPr="00C308E0">
        <w:rPr>
          <w:szCs w:val="22"/>
        </w:rPr>
        <w:t>isabled staff reporting feelings that the trust provides equal access to career progression.</w:t>
      </w:r>
    </w:p>
    <w:p w14:paraId="73CC6ECD" w14:textId="77777777" w:rsidR="00CE3AF1" w:rsidRPr="00C308E0" w:rsidRDefault="00CE3AF1" w:rsidP="00CE3AF1">
      <w:pPr>
        <w:pStyle w:val="ListParagraph0"/>
        <w:numPr>
          <w:ilvl w:val="0"/>
          <w:numId w:val="34"/>
        </w:numPr>
        <w:rPr>
          <w:szCs w:val="22"/>
        </w:rPr>
      </w:pPr>
      <w:r w:rsidRPr="00C308E0">
        <w:rPr>
          <w:szCs w:val="22"/>
        </w:rPr>
        <w:t>The percentage of staff saying that they had felt pressure from their manager to come to work when not feeling enough to perform their duties has reduced slightly (0.8%).</w:t>
      </w:r>
    </w:p>
    <w:p w14:paraId="04C3A0D1" w14:textId="77777777" w:rsidR="00CE3AF1" w:rsidRPr="00C308E0" w:rsidRDefault="00CE3AF1" w:rsidP="00CE3AF1">
      <w:pPr>
        <w:pStyle w:val="ListParagraph0"/>
        <w:numPr>
          <w:ilvl w:val="0"/>
          <w:numId w:val="34"/>
        </w:numPr>
        <w:rPr>
          <w:szCs w:val="22"/>
        </w:rPr>
      </w:pPr>
      <w:r w:rsidRPr="00C308E0">
        <w:rPr>
          <w:szCs w:val="22"/>
        </w:rPr>
        <w:t>An 8.4% increase in the percentage of staff saying they are satisfied with the extent to which our organisation values their work.</w:t>
      </w:r>
    </w:p>
    <w:p w14:paraId="5FFD2C98" w14:textId="77777777" w:rsidR="00CE3AF1" w:rsidRDefault="00CE3AF1" w:rsidP="00CE3AF1">
      <w:pPr>
        <w:pStyle w:val="ListParagraph0"/>
        <w:numPr>
          <w:ilvl w:val="0"/>
          <w:numId w:val="34"/>
        </w:numPr>
        <w:rPr>
          <w:szCs w:val="22"/>
        </w:rPr>
      </w:pPr>
      <w:r w:rsidRPr="00C308E0">
        <w:rPr>
          <w:szCs w:val="22"/>
        </w:rPr>
        <w:t>The percentage of staff reporting that our Trust has made reasonable adjustments to enable them to do their work has increased by 2.5%.</w:t>
      </w:r>
    </w:p>
    <w:p w14:paraId="0EA4A5AE" w14:textId="77777777" w:rsidR="00CE3AF1" w:rsidRPr="00C308E0" w:rsidRDefault="00CE3AF1" w:rsidP="00CE3AF1">
      <w:pPr>
        <w:pStyle w:val="ListParagraph0"/>
        <w:numPr>
          <w:ilvl w:val="0"/>
          <w:numId w:val="34"/>
        </w:numPr>
        <w:rPr>
          <w:szCs w:val="22"/>
        </w:rPr>
      </w:pPr>
      <w:r>
        <w:rPr>
          <w:szCs w:val="22"/>
        </w:rPr>
        <w:t>There has been an increase in disability representation on our Trust board.</w:t>
      </w:r>
    </w:p>
    <w:p w14:paraId="5D74AB3F" w14:textId="77777777" w:rsidR="00CE3AF1" w:rsidRDefault="00CE3AF1" w:rsidP="00CE3AF1">
      <w:pPr>
        <w:rPr>
          <w:szCs w:val="22"/>
        </w:rPr>
      </w:pPr>
    </w:p>
    <w:p w14:paraId="5FDA8213" w14:textId="77777777" w:rsidR="00CE3AF1" w:rsidRDefault="00CE3AF1" w:rsidP="00CE3AF1">
      <w:pPr>
        <w:rPr>
          <w:szCs w:val="22"/>
        </w:rPr>
      </w:pPr>
      <w:r>
        <w:rPr>
          <w:szCs w:val="22"/>
        </w:rPr>
        <w:t>There has however been a worsening result in percentage of disabled staff who said that they had reported harassment and bullying (-7.5%). This figure is slightly below the national average by 1%.</w:t>
      </w:r>
    </w:p>
    <w:p w14:paraId="3C6D1311" w14:textId="77777777" w:rsidR="00D23507" w:rsidRDefault="00D23507" w:rsidP="001A1269">
      <w:pPr>
        <w:rPr>
          <w:rFonts w:eastAsiaTheme="minorHAnsi" w:cs="Arial"/>
          <w:color w:val="231F20"/>
          <w:shd w:val="clear" w:color="auto" w:fill="FFFFFF"/>
        </w:rPr>
      </w:pPr>
    </w:p>
    <w:p w14:paraId="29A40B09" w14:textId="2EC6DD37" w:rsidR="001A1269" w:rsidRPr="001A1269" w:rsidRDefault="001A1269" w:rsidP="001A1269">
      <w:pPr>
        <w:rPr>
          <w:rFonts w:eastAsiaTheme="minorHAnsi" w:cs="Arial"/>
          <w:color w:val="231F20"/>
          <w:shd w:val="clear" w:color="auto" w:fill="FFFFFF"/>
        </w:rPr>
      </w:pPr>
      <w:r w:rsidRPr="001A1269">
        <w:rPr>
          <w:rFonts w:eastAsiaTheme="minorHAnsi" w:cs="Arial"/>
          <w:color w:val="231F20"/>
          <w:shd w:val="clear" w:color="auto" w:fill="FFFFFF"/>
        </w:rPr>
        <w:t xml:space="preserve">There are a total of </w:t>
      </w:r>
      <w:r w:rsidR="00FC56B8">
        <w:rPr>
          <w:rFonts w:eastAsiaTheme="minorHAnsi" w:cs="Arial"/>
          <w:color w:val="231F20"/>
          <w:shd w:val="clear" w:color="auto" w:fill="FFFFFF"/>
        </w:rPr>
        <w:t>ten</w:t>
      </w:r>
      <w:r w:rsidRPr="001A1269">
        <w:rPr>
          <w:rFonts w:eastAsiaTheme="minorHAnsi" w:cs="Arial"/>
          <w:color w:val="231F20"/>
          <w:shd w:val="clear" w:color="auto" w:fill="FFFFFF"/>
        </w:rPr>
        <w:t xml:space="preserve"> indicators that make up the W</w:t>
      </w:r>
      <w:r w:rsidR="00FC56B8">
        <w:rPr>
          <w:rFonts w:eastAsiaTheme="minorHAnsi" w:cs="Arial"/>
          <w:color w:val="231F20"/>
          <w:shd w:val="clear" w:color="auto" w:fill="FFFFFF"/>
        </w:rPr>
        <w:t>D</w:t>
      </w:r>
      <w:r w:rsidRPr="001A1269">
        <w:rPr>
          <w:rFonts w:eastAsiaTheme="minorHAnsi" w:cs="Arial"/>
          <w:color w:val="231F20"/>
          <w:shd w:val="clear" w:color="auto" w:fill="FFFFFF"/>
        </w:rPr>
        <w:t>ES, split across workforce data, National NHS Staff Survey and Trust Board Representation. These are designed to help us track our progress in tackling inequalities in the workplace.</w:t>
      </w:r>
    </w:p>
    <w:p w14:paraId="6757E0DD" w14:textId="1548121E" w:rsidR="00357A8A" w:rsidRPr="001A1269" w:rsidRDefault="00357A8A" w:rsidP="008E2577">
      <w:pPr>
        <w:spacing w:line="276" w:lineRule="auto"/>
        <w:rPr>
          <w:bCs/>
        </w:rPr>
      </w:pPr>
    </w:p>
    <w:p w14:paraId="0796AE43" w14:textId="427BA0D6" w:rsidR="008E2577" w:rsidRDefault="004E4AA4" w:rsidP="008E2577">
      <w:pPr>
        <w:spacing w:line="276" w:lineRule="auto"/>
        <w:rPr>
          <w:rFonts w:cs="Arial"/>
          <w:color w:val="231F20"/>
          <w:shd w:val="clear" w:color="auto" w:fill="FFFFFF"/>
        </w:rPr>
      </w:pPr>
      <w:r w:rsidRPr="00C308E0">
        <w:rPr>
          <w:szCs w:val="22"/>
        </w:rPr>
        <w:t xml:space="preserve">The 2023 </w:t>
      </w:r>
      <w:r>
        <w:rPr>
          <w:szCs w:val="22"/>
        </w:rPr>
        <w:t>WDES results demonstrate</w:t>
      </w:r>
      <w:r w:rsidRPr="00C308E0">
        <w:rPr>
          <w:szCs w:val="22"/>
        </w:rPr>
        <w:t xml:space="preserve"> improvements </w:t>
      </w:r>
      <w:r>
        <w:rPr>
          <w:szCs w:val="22"/>
        </w:rPr>
        <w:t>in</w:t>
      </w:r>
      <w:r w:rsidRPr="00C308E0">
        <w:rPr>
          <w:szCs w:val="22"/>
        </w:rPr>
        <w:t xml:space="preserve"> </w:t>
      </w:r>
      <w:r w:rsidR="00BB1CE1">
        <w:rPr>
          <w:szCs w:val="22"/>
        </w:rPr>
        <w:t>several of the</w:t>
      </w:r>
      <w:r w:rsidRPr="00C308E0">
        <w:rPr>
          <w:szCs w:val="22"/>
        </w:rPr>
        <w:t xml:space="preserve"> metric areas.</w:t>
      </w:r>
      <w:r w:rsidR="001A1269">
        <w:rPr>
          <w:rFonts w:cs="Arial"/>
          <w:color w:val="231F20"/>
          <w:shd w:val="clear" w:color="auto" w:fill="FFFFFF"/>
        </w:rPr>
        <w:t xml:space="preserve"> </w:t>
      </w:r>
      <w:r w:rsidR="001A1269" w:rsidRPr="009B482F">
        <w:rPr>
          <w:rFonts w:cs="Arial"/>
          <w:color w:val="231F20"/>
          <w:shd w:val="clear" w:color="auto" w:fill="FFFFFF"/>
        </w:rPr>
        <w:t>Despite these improvements we know tha</w:t>
      </w:r>
      <w:r w:rsidR="00BB1CE1">
        <w:rPr>
          <w:rFonts w:cs="Arial"/>
          <w:color w:val="231F20"/>
          <w:shd w:val="clear" w:color="auto" w:fill="FFFFFF"/>
        </w:rPr>
        <w:t>t further focus is required to improve the experience of our disabled staff.</w:t>
      </w:r>
    </w:p>
    <w:p w14:paraId="561845A3" w14:textId="77777777" w:rsidR="00CE3AF1" w:rsidRDefault="00CE3AF1" w:rsidP="008E2577">
      <w:pPr>
        <w:spacing w:line="276" w:lineRule="auto"/>
        <w:rPr>
          <w:rFonts w:cs="Arial"/>
          <w:color w:val="231F20"/>
          <w:shd w:val="clear" w:color="auto" w:fill="FFFFFF"/>
        </w:rPr>
      </w:pPr>
    </w:p>
    <w:p w14:paraId="67F92131" w14:textId="77777777" w:rsidR="00CE3AF1" w:rsidRPr="00C92618" w:rsidRDefault="00CE3AF1" w:rsidP="00CE3AF1">
      <w:pPr>
        <w:jc w:val="both"/>
        <w:rPr>
          <w:rFonts w:ascii="Abadi" w:hAnsi="Abadi"/>
          <w:b/>
          <w:bCs/>
        </w:rPr>
      </w:pPr>
      <w:r w:rsidRPr="00C92618">
        <w:rPr>
          <w:rFonts w:ascii="Abadi" w:hAnsi="Abadi"/>
          <w:b/>
          <w:bCs/>
        </w:rPr>
        <w:t>Metric 1</w:t>
      </w:r>
    </w:p>
    <w:p w14:paraId="5B7B38AE" w14:textId="77777777" w:rsidR="00CE3AF1" w:rsidRPr="00C92618" w:rsidRDefault="00CE3AF1" w:rsidP="00CE3AF1">
      <w:pPr>
        <w:jc w:val="both"/>
        <w:rPr>
          <w:rFonts w:ascii="Abadi" w:hAnsi="Abadi"/>
        </w:rPr>
      </w:pPr>
    </w:p>
    <w:p w14:paraId="213A49EC" w14:textId="77777777" w:rsidR="00CE3AF1" w:rsidRPr="00C92618" w:rsidRDefault="00CE3AF1" w:rsidP="00CE3AF1">
      <w:pPr>
        <w:jc w:val="both"/>
        <w:rPr>
          <w:rFonts w:ascii="Abadi" w:hAnsi="Abadi"/>
        </w:rPr>
      </w:pPr>
      <w:r w:rsidRPr="00C92618">
        <w:rPr>
          <w:rFonts w:ascii="Abadi" w:hAnsi="Abadi"/>
        </w:rPr>
        <w:t xml:space="preserve">This metric looks at the percentage of staff in Agenda for Change pay-bands or medical and dental subgroups and very senior managers (including Executive Board members) compared with the percentage of staff in the overall workforce. </w:t>
      </w:r>
    </w:p>
    <w:p w14:paraId="5432ACFD" w14:textId="77777777" w:rsidR="00CE3AF1" w:rsidRPr="00C92618" w:rsidRDefault="00CE3AF1" w:rsidP="00CE3AF1">
      <w:pPr>
        <w:jc w:val="both"/>
        <w:rPr>
          <w:rFonts w:ascii="Abadi" w:hAnsi="Abadi"/>
        </w:rPr>
      </w:pPr>
    </w:p>
    <w:p w14:paraId="37233FFA" w14:textId="77777777" w:rsidR="00CE3AF1" w:rsidRPr="00C92618" w:rsidRDefault="00CE3AF1" w:rsidP="00CE3AF1">
      <w:pPr>
        <w:jc w:val="both"/>
        <w:rPr>
          <w:rFonts w:ascii="Abadi" w:hAnsi="Abadi"/>
        </w:rPr>
      </w:pPr>
      <w:r w:rsidRPr="00C92618">
        <w:rPr>
          <w:rFonts w:ascii="Abadi" w:hAnsi="Abadi"/>
        </w:rPr>
        <w:t xml:space="preserve">The 2024 data shows that 10.4% of our workforce (excluding bank) have a disability or long-term health condition. This is an increase of 2.9% when compared to 2023. </w:t>
      </w:r>
    </w:p>
    <w:p w14:paraId="5E5A1A08" w14:textId="77777777" w:rsidR="00CE3AF1" w:rsidRPr="00C92618" w:rsidRDefault="00CE3AF1" w:rsidP="00CE3AF1">
      <w:pPr>
        <w:jc w:val="both"/>
        <w:rPr>
          <w:rFonts w:ascii="Abadi" w:hAnsi="Abadi"/>
          <w:noProof/>
        </w:rPr>
      </w:pPr>
    </w:p>
    <w:p w14:paraId="41A5984C" w14:textId="77777777" w:rsidR="00CE3AF1" w:rsidRPr="00C92618" w:rsidRDefault="00CE3AF1" w:rsidP="00CE3AF1">
      <w:pPr>
        <w:jc w:val="both"/>
        <w:rPr>
          <w:rFonts w:ascii="Abadi" w:hAnsi="Abadi"/>
          <w:b/>
          <w:bCs/>
        </w:rPr>
      </w:pPr>
      <w:r w:rsidRPr="00C92618">
        <w:rPr>
          <w:rFonts w:ascii="Abadi" w:hAnsi="Abadi"/>
          <w:b/>
          <w:bCs/>
        </w:rPr>
        <w:t>“Relative Likelihood” WDES Metrics Two and Three</w:t>
      </w:r>
    </w:p>
    <w:p w14:paraId="08D06AF6" w14:textId="77777777" w:rsidR="00CE3AF1" w:rsidRDefault="00CE3AF1" w:rsidP="00CE3AF1">
      <w:pPr>
        <w:jc w:val="both"/>
        <w:rPr>
          <w:rFonts w:ascii="Abadi" w:hAnsi="Abadi"/>
          <w:b/>
          <w:bCs/>
        </w:rPr>
      </w:pPr>
    </w:p>
    <w:p w14:paraId="3EA4208E" w14:textId="77777777" w:rsidR="00CE3AF1" w:rsidRPr="00C92618" w:rsidRDefault="00CE3AF1" w:rsidP="00CE3AF1">
      <w:pPr>
        <w:jc w:val="both"/>
        <w:rPr>
          <w:rFonts w:ascii="Abadi" w:hAnsi="Abadi"/>
          <w:b/>
          <w:bCs/>
        </w:rPr>
      </w:pPr>
      <w:r w:rsidRPr="00C92618">
        <w:rPr>
          <w:rFonts w:ascii="Abadi" w:hAnsi="Abadi"/>
          <w:b/>
          <w:bCs/>
        </w:rPr>
        <w:t>Table 7</w:t>
      </w:r>
    </w:p>
    <w:p w14:paraId="3981C27A" w14:textId="77777777" w:rsidR="00CE3AF1" w:rsidRPr="00C92618" w:rsidRDefault="00CE3AF1" w:rsidP="00CE3AF1">
      <w:pPr>
        <w:jc w:val="both"/>
        <w:rPr>
          <w:rFonts w:ascii="Abadi" w:hAnsi="Abadi"/>
          <w:noProof/>
        </w:rPr>
      </w:pPr>
    </w:p>
    <w:tbl>
      <w:tblPr>
        <w:tblStyle w:val="TableGrid"/>
        <w:tblW w:w="0" w:type="auto"/>
        <w:tblLook w:val="04A0" w:firstRow="1" w:lastRow="0" w:firstColumn="1" w:lastColumn="0" w:noHBand="0" w:noVBand="1"/>
      </w:tblPr>
      <w:tblGrid>
        <w:gridCol w:w="1254"/>
        <w:gridCol w:w="5545"/>
        <w:gridCol w:w="1134"/>
        <w:gridCol w:w="1021"/>
      </w:tblGrid>
      <w:tr w:rsidR="00CE3AF1" w:rsidRPr="00C92618" w14:paraId="4B6AFE0D" w14:textId="77777777" w:rsidTr="00193F35">
        <w:tc>
          <w:tcPr>
            <w:tcW w:w="1254" w:type="dxa"/>
            <w:shd w:val="clear" w:color="auto" w:fill="548DD4" w:themeFill="text2" w:themeFillTint="99"/>
          </w:tcPr>
          <w:p w14:paraId="420E8276" w14:textId="77777777" w:rsidR="00CE3AF1" w:rsidRPr="00C92618" w:rsidRDefault="00CE3AF1" w:rsidP="00193F35">
            <w:pPr>
              <w:jc w:val="both"/>
              <w:rPr>
                <w:rFonts w:ascii="Abadi" w:hAnsi="Abadi"/>
                <w:b/>
                <w:bCs/>
              </w:rPr>
            </w:pPr>
            <w:r w:rsidRPr="00C92618">
              <w:rPr>
                <w:rFonts w:ascii="Abadi" w:hAnsi="Abadi"/>
                <w:b/>
                <w:bCs/>
              </w:rPr>
              <w:t>WDES Metric</w:t>
            </w:r>
          </w:p>
        </w:tc>
        <w:tc>
          <w:tcPr>
            <w:tcW w:w="5545" w:type="dxa"/>
            <w:shd w:val="clear" w:color="auto" w:fill="548DD4" w:themeFill="text2" w:themeFillTint="99"/>
          </w:tcPr>
          <w:p w14:paraId="41AFAEED" w14:textId="77777777" w:rsidR="00CE3AF1" w:rsidRPr="00C92618" w:rsidRDefault="00CE3AF1" w:rsidP="00193F35">
            <w:pPr>
              <w:jc w:val="both"/>
              <w:rPr>
                <w:rFonts w:ascii="Abadi" w:hAnsi="Abadi"/>
                <w:b/>
                <w:bCs/>
              </w:rPr>
            </w:pPr>
            <w:r w:rsidRPr="00C92618">
              <w:rPr>
                <w:rFonts w:ascii="Abadi" w:hAnsi="Abadi"/>
                <w:b/>
                <w:bCs/>
              </w:rPr>
              <w:t>Metric Description</w:t>
            </w:r>
          </w:p>
        </w:tc>
        <w:tc>
          <w:tcPr>
            <w:tcW w:w="1134" w:type="dxa"/>
            <w:shd w:val="clear" w:color="auto" w:fill="548DD4" w:themeFill="text2" w:themeFillTint="99"/>
          </w:tcPr>
          <w:p w14:paraId="0BD68D92" w14:textId="77777777" w:rsidR="00CE3AF1" w:rsidRPr="00C92618" w:rsidRDefault="00CE3AF1" w:rsidP="00193F35">
            <w:pPr>
              <w:jc w:val="both"/>
              <w:rPr>
                <w:rFonts w:ascii="Abadi" w:hAnsi="Abadi"/>
                <w:b/>
                <w:bCs/>
              </w:rPr>
            </w:pPr>
            <w:r w:rsidRPr="00C92618">
              <w:rPr>
                <w:rFonts w:ascii="Abadi" w:hAnsi="Abadi"/>
                <w:b/>
                <w:bCs/>
              </w:rPr>
              <w:t>2023</w:t>
            </w:r>
          </w:p>
          <w:p w14:paraId="4101DADA" w14:textId="77777777" w:rsidR="00CE3AF1" w:rsidRPr="00C92618" w:rsidRDefault="00CE3AF1" w:rsidP="00193F35">
            <w:pPr>
              <w:jc w:val="both"/>
              <w:rPr>
                <w:rFonts w:ascii="Abadi" w:hAnsi="Abadi"/>
                <w:b/>
                <w:bCs/>
              </w:rPr>
            </w:pPr>
            <w:r w:rsidRPr="00C92618">
              <w:rPr>
                <w:rFonts w:ascii="Abadi" w:hAnsi="Abadi"/>
                <w:b/>
                <w:bCs/>
              </w:rPr>
              <w:t>Score</w:t>
            </w:r>
          </w:p>
        </w:tc>
        <w:tc>
          <w:tcPr>
            <w:tcW w:w="1021" w:type="dxa"/>
            <w:shd w:val="clear" w:color="auto" w:fill="548DD4" w:themeFill="text2" w:themeFillTint="99"/>
          </w:tcPr>
          <w:p w14:paraId="7F35BB9A" w14:textId="77777777" w:rsidR="00CE3AF1" w:rsidRPr="00C92618" w:rsidRDefault="00CE3AF1" w:rsidP="00193F35">
            <w:pPr>
              <w:jc w:val="both"/>
              <w:rPr>
                <w:rFonts w:ascii="Abadi" w:hAnsi="Abadi"/>
                <w:b/>
                <w:bCs/>
              </w:rPr>
            </w:pPr>
            <w:r w:rsidRPr="00C92618">
              <w:rPr>
                <w:rFonts w:ascii="Abadi" w:hAnsi="Abadi"/>
                <w:b/>
                <w:bCs/>
              </w:rPr>
              <w:t xml:space="preserve">2024 </w:t>
            </w:r>
            <w:proofErr w:type="gramStart"/>
            <w:r w:rsidRPr="00C92618">
              <w:rPr>
                <w:rFonts w:ascii="Abadi" w:hAnsi="Abadi"/>
                <w:b/>
                <w:bCs/>
              </w:rPr>
              <w:t>Score</w:t>
            </w:r>
            <w:proofErr w:type="gramEnd"/>
          </w:p>
        </w:tc>
      </w:tr>
      <w:tr w:rsidR="00CE3AF1" w:rsidRPr="00C92618" w14:paraId="5B08D8EA" w14:textId="77777777" w:rsidTr="00193F35">
        <w:tc>
          <w:tcPr>
            <w:tcW w:w="1254" w:type="dxa"/>
          </w:tcPr>
          <w:p w14:paraId="62A12358" w14:textId="77777777" w:rsidR="00CE3AF1" w:rsidRPr="00C92618" w:rsidRDefault="00CE3AF1" w:rsidP="00193F35">
            <w:pPr>
              <w:jc w:val="both"/>
              <w:rPr>
                <w:rFonts w:ascii="Abadi" w:hAnsi="Abadi"/>
              </w:rPr>
            </w:pPr>
            <w:r w:rsidRPr="00C92618">
              <w:rPr>
                <w:rFonts w:ascii="Abadi" w:hAnsi="Abadi"/>
              </w:rPr>
              <w:t>2</w:t>
            </w:r>
          </w:p>
        </w:tc>
        <w:tc>
          <w:tcPr>
            <w:tcW w:w="5545" w:type="dxa"/>
          </w:tcPr>
          <w:p w14:paraId="5AD5D304" w14:textId="77777777" w:rsidR="00CE3AF1" w:rsidRPr="00C92618" w:rsidRDefault="00CE3AF1" w:rsidP="00193F35">
            <w:pPr>
              <w:jc w:val="both"/>
              <w:rPr>
                <w:rFonts w:ascii="Abadi" w:hAnsi="Abadi"/>
                <w:b/>
                <w:bCs/>
              </w:rPr>
            </w:pPr>
            <w:r w:rsidRPr="00C92618">
              <w:rPr>
                <w:rFonts w:ascii="Abadi" w:hAnsi="Abadi"/>
              </w:rPr>
              <w:t>Relative likelihood of non-Disabled staff being appointed from shortlisting compared to that of Disabled staff being appointed from shortlisting across all posts.</w:t>
            </w:r>
          </w:p>
        </w:tc>
        <w:tc>
          <w:tcPr>
            <w:tcW w:w="1134" w:type="dxa"/>
          </w:tcPr>
          <w:p w14:paraId="580D1772" w14:textId="77777777" w:rsidR="00CE3AF1" w:rsidRPr="00C92618" w:rsidRDefault="00CE3AF1" w:rsidP="00193F35">
            <w:pPr>
              <w:jc w:val="both"/>
              <w:rPr>
                <w:rFonts w:ascii="Abadi" w:hAnsi="Abadi"/>
              </w:rPr>
            </w:pPr>
            <w:r w:rsidRPr="00C92618">
              <w:rPr>
                <w:rFonts w:ascii="Abadi" w:hAnsi="Abadi"/>
              </w:rPr>
              <w:t>0.87</w:t>
            </w:r>
          </w:p>
        </w:tc>
        <w:tc>
          <w:tcPr>
            <w:tcW w:w="1021" w:type="dxa"/>
          </w:tcPr>
          <w:p w14:paraId="094945D6" w14:textId="77777777" w:rsidR="00CE3AF1" w:rsidRPr="00C92618" w:rsidRDefault="00CE3AF1" w:rsidP="00193F35">
            <w:pPr>
              <w:jc w:val="both"/>
              <w:rPr>
                <w:rFonts w:ascii="Abadi" w:hAnsi="Abadi"/>
              </w:rPr>
            </w:pPr>
            <w:r w:rsidRPr="00C92618">
              <w:rPr>
                <w:rFonts w:ascii="Abadi" w:hAnsi="Abadi"/>
              </w:rPr>
              <w:t>0.92</w:t>
            </w:r>
          </w:p>
        </w:tc>
      </w:tr>
    </w:tbl>
    <w:p w14:paraId="7D766F5B" w14:textId="77777777" w:rsidR="00CE3AF1" w:rsidRPr="00C92618" w:rsidRDefault="00CE3AF1" w:rsidP="00CE3AF1">
      <w:pPr>
        <w:spacing w:line="276" w:lineRule="auto"/>
        <w:jc w:val="both"/>
        <w:rPr>
          <w:rFonts w:ascii="Abadi" w:hAnsi="Abadi"/>
          <w:noProof/>
        </w:rPr>
      </w:pPr>
    </w:p>
    <w:p w14:paraId="439AFAE8" w14:textId="77777777" w:rsidR="00CE3AF1" w:rsidRPr="00C92618" w:rsidRDefault="00CE3AF1" w:rsidP="00CE3AF1">
      <w:pPr>
        <w:jc w:val="both"/>
        <w:rPr>
          <w:rFonts w:ascii="Abadi" w:eastAsiaTheme="minorEastAsia" w:hAnsi="Abadi" w:cs="Arial"/>
          <w:color w:val="000000" w:themeColor="text1"/>
          <w:kern w:val="24"/>
          <w:lang w:eastAsia="en-GB"/>
        </w:rPr>
      </w:pPr>
      <w:r w:rsidRPr="00C92618">
        <w:rPr>
          <w:rFonts w:ascii="Abadi" w:eastAsiaTheme="minorEastAsia" w:hAnsi="Abadi" w:cs="Arial"/>
          <w:color w:val="000000" w:themeColor="text1"/>
          <w:kern w:val="24"/>
          <w:lang w:eastAsia="en-GB"/>
        </w:rPr>
        <w:t xml:space="preserve">The probability figure continues to show that Disabled staff are more likely to be appointed from shortlisting compared to non-disabled staff. </w:t>
      </w:r>
    </w:p>
    <w:p w14:paraId="2B987212" w14:textId="77777777" w:rsidR="00CE3AF1" w:rsidRPr="00C92618" w:rsidRDefault="00CE3AF1" w:rsidP="00CE3AF1">
      <w:pPr>
        <w:jc w:val="both"/>
        <w:rPr>
          <w:rFonts w:ascii="Abadi" w:eastAsiaTheme="minorEastAsia" w:hAnsi="Abadi" w:cs="Arial"/>
          <w:color w:val="000000" w:themeColor="text1"/>
          <w:kern w:val="24"/>
          <w:lang w:eastAsia="en-GB"/>
        </w:rPr>
      </w:pPr>
    </w:p>
    <w:p w14:paraId="125CE393" w14:textId="77777777" w:rsidR="00CE3AF1" w:rsidRPr="00C92618" w:rsidRDefault="00CE3AF1" w:rsidP="00CE3AF1">
      <w:pPr>
        <w:jc w:val="both"/>
        <w:rPr>
          <w:rFonts w:ascii="Abadi" w:eastAsiaTheme="minorEastAsia" w:hAnsi="Abadi" w:cs="Arial"/>
          <w:color w:val="000000" w:themeColor="text1"/>
          <w:kern w:val="24"/>
          <w:lang w:eastAsia="en-GB"/>
        </w:rPr>
      </w:pPr>
      <w:r w:rsidRPr="00C92618">
        <w:rPr>
          <w:rFonts w:ascii="Abadi" w:eastAsiaTheme="minorEastAsia" w:hAnsi="Abadi" w:cs="Arial"/>
          <w:color w:val="000000" w:themeColor="text1"/>
          <w:kern w:val="24"/>
          <w:lang w:eastAsia="en-GB"/>
        </w:rPr>
        <w:t xml:space="preserve">In 2023/24 there were a total of 1002 appointments where Disability status was known. Of this total </w:t>
      </w:r>
    </w:p>
    <w:p w14:paraId="10933960" w14:textId="77777777" w:rsidR="00CE3AF1" w:rsidRPr="00C92618" w:rsidRDefault="00CE3AF1" w:rsidP="00CE3AF1">
      <w:pPr>
        <w:jc w:val="both"/>
        <w:rPr>
          <w:rFonts w:ascii="Abadi" w:eastAsiaTheme="minorEastAsia" w:hAnsi="Abadi" w:cs="Arial"/>
          <w:color w:val="000000" w:themeColor="text1"/>
          <w:kern w:val="24"/>
          <w:lang w:eastAsia="en-GB"/>
        </w:rPr>
      </w:pPr>
      <w:r w:rsidRPr="00C92618">
        <w:rPr>
          <w:rFonts w:ascii="Abadi" w:eastAsiaTheme="minorEastAsia" w:hAnsi="Abadi" w:cs="Arial"/>
          <w:color w:val="000000" w:themeColor="text1"/>
          <w:kern w:val="24"/>
          <w:lang w:eastAsia="en-GB"/>
        </w:rPr>
        <w:t>11.9% were Disabled, this is above the disability representation of our overall workforce at 10.4%.</w:t>
      </w:r>
    </w:p>
    <w:p w14:paraId="7B0CC979" w14:textId="77777777" w:rsidR="00CE3AF1" w:rsidRPr="00C92618" w:rsidRDefault="00CE3AF1" w:rsidP="00CE3AF1">
      <w:pPr>
        <w:jc w:val="both"/>
        <w:rPr>
          <w:rFonts w:ascii="Abadi" w:eastAsiaTheme="minorEastAsia" w:hAnsi="Abadi" w:cs="Arial"/>
          <w:color w:val="000000" w:themeColor="text1"/>
          <w:kern w:val="24"/>
          <w:lang w:eastAsia="en-GB"/>
        </w:rPr>
      </w:pPr>
    </w:p>
    <w:p w14:paraId="349A309A" w14:textId="77777777" w:rsidR="00CE3AF1" w:rsidRPr="00C92618" w:rsidRDefault="00CE3AF1" w:rsidP="00CE3AF1">
      <w:pPr>
        <w:jc w:val="both"/>
        <w:rPr>
          <w:rFonts w:ascii="Abadi" w:hAnsi="Abadi"/>
          <w:noProof/>
        </w:rPr>
      </w:pPr>
    </w:p>
    <w:p w14:paraId="1A475159" w14:textId="77777777" w:rsidR="00CE3AF1" w:rsidRPr="00C92618" w:rsidRDefault="00CE3AF1" w:rsidP="00CE3AF1">
      <w:pPr>
        <w:jc w:val="both"/>
        <w:rPr>
          <w:rFonts w:ascii="Abadi" w:hAnsi="Abadi" w:cs="Arial"/>
          <w:b/>
          <w:bCs/>
          <w:lang w:eastAsia="en-GB"/>
        </w:rPr>
      </w:pPr>
      <w:r w:rsidRPr="00C92618">
        <w:rPr>
          <w:rFonts w:ascii="Abadi" w:hAnsi="Abadi" w:cs="Arial"/>
          <w:b/>
          <w:bCs/>
          <w:lang w:eastAsia="en-GB"/>
        </w:rPr>
        <w:t>Table 8</w:t>
      </w:r>
    </w:p>
    <w:p w14:paraId="3D088F29" w14:textId="77777777" w:rsidR="00CE3AF1" w:rsidRPr="00C92618" w:rsidRDefault="00CE3AF1" w:rsidP="00CE3AF1">
      <w:pPr>
        <w:jc w:val="both"/>
        <w:rPr>
          <w:rFonts w:ascii="Abadi" w:hAnsi="Abadi"/>
          <w:noProof/>
        </w:rPr>
      </w:pPr>
    </w:p>
    <w:tbl>
      <w:tblPr>
        <w:tblStyle w:val="TableGrid"/>
        <w:tblW w:w="0" w:type="auto"/>
        <w:tblLook w:val="04A0" w:firstRow="1" w:lastRow="0" w:firstColumn="1" w:lastColumn="0" w:noHBand="0" w:noVBand="1"/>
      </w:tblPr>
      <w:tblGrid>
        <w:gridCol w:w="1254"/>
        <w:gridCol w:w="5545"/>
        <w:gridCol w:w="1134"/>
        <w:gridCol w:w="1021"/>
      </w:tblGrid>
      <w:tr w:rsidR="00CE3AF1" w:rsidRPr="00C92618" w14:paraId="7111C4BB" w14:textId="77777777" w:rsidTr="00193F35">
        <w:tc>
          <w:tcPr>
            <w:tcW w:w="1254" w:type="dxa"/>
            <w:shd w:val="clear" w:color="auto" w:fill="548DD4" w:themeFill="text2" w:themeFillTint="99"/>
          </w:tcPr>
          <w:p w14:paraId="0C68EAD8" w14:textId="77777777" w:rsidR="00CE3AF1" w:rsidRPr="00C92618" w:rsidRDefault="00CE3AF1" w:rsidP="00193F35">
            <w:pPr>
              <w:jc w:val="both"/>
              <w:rPr>
                <w:rFonts w:ascii="Abadi" w:hAnsi="Abadi"/>
                <w:b/>
                <w:bCs/>
              </w:rPr>
            </w:pPr>
            <w:r w:rsidRPr="00C92618">
              <w:rPr>
                <w:rFonts w:ascii="Abadi" w:hAnsi="Abadi"/>
                <w:b/>
                <w:bCs/>
              </w:rPr>
              <w:t>WDES Metric</w:t>
            </w:r>
          </w:p>
        </w:tc>
        <w:tc>
          <w:tcPr>
            <w:tcW w:w="5545" w:type="dxa"/>
            <w:shd w:val="clear" w:color="auto" w:fill="548DD4" w:themeFill="text2" w:themeFillTint="99"/>
          </w:tcPr>
          <w:p w14:paraId="300616DE" w14:textId="77777777" w:rsidR="00CE3AF1" w:rsidRPr="00C92618" w:rsidRDefault="00CE3AF1" w:rsidP="00193F35">
            <w:pPr>
              <w:jc w:val="both"/>
              <w:rPr>
                <w:rFonts w:ascii="Abadi" w:hAnsi="Abadi"/>
                <w:b/>
                <w:bCs/>
              </w:rPr>
            </w:pPr>
            <w:r w:rsidRPr="00C92618">
              <w:rPr>
                <w:rFonts w:ascii="Abadi" w:hAnsi="Abadi"/>
                <w:b/>
                <w:bCs/>
              </w:rPr>
              <w:t>Metric Description</w:t>
            </w:r>
          </w:p>
        </w:tc>
        <w:tc>
          <w:tcPr>
            <w:tcW w:w="1134" w:type="dxa"/>
            <w:shd w:val="clear" w:color="auto" w:fill="548DD4" w:themeFill="text2" w:themeFillTint="99"/>
          </w:tcPr>
          <w:p w14:paraId="74A8178A" w14:textId="77777777" w:rsidR="00CE3AF1" w:rsidRPr="00C92618" w:rsidRDefault="00CE3AF1" w:rsidP="00193F35">
            <w:pPr>
              <w:jc w:val="both"/>
              <w:rPr>
                <w:rFonts w:ascii="Abadi" w:hAnsi="Abadi"/>
                <w:b/>
                <w:bCs/>
              </w:rPr>
            </w:pPr>
            <w:r w:rsidRPr="00C92618">
              <w:rPr>
                <w:rFonts w:ascii="Abadi" w:hAnsi="Abadi"/>
                <w:b/>
                <w:bCs/>
              </w:rPr>
              <w:t>2023</w:t>
            </w:r>
          </w:p>
          <w:p w14:paraId="6F9C019D" w14:textId="77777777" w:rsidR="00CE3AF1" w:rsidRPr="00C92618" w:rsidRDefault="00CE3AF1" w:rsidP="00193F35">
            <w:pPr>
              <w:jc w:val="both"/>
              <w:rPr>
                <w:rFonts w:ascii="Abadi" w:hAnsi="Abadi"/>
                <w:b/>
                <w:bCs/>
              </w:rPr>
            </w:pPr>
            <w:r w:rsidRPr="00C92618">
              <w:rPr>
                <w:rFonts w:ascii="Abadi" w:hAnsi="Abadi"/>
                <w:b/>
                <w:bCs/>
              </w:rPr>
              <w:t>Score</w:t>
            </w:r>
          </w:p>
        </w:tc>
        <w:tc>
          <w:tcPr>
            <w:tcW w:w="1021" w:type="dxa"/>
            <w:shd w:val="clear" w:color="auto" w:fill="548DD4" w:themeFill="text2" w:themeFillTint="99"/>
          </w:tcPr>
          <w:p w14:paraId="4EF6E73C" w14:textId="77777777" w:rsidR="00CE3AF1" w:rsidRPr="00C92618" w:rsidRDefault="00CE3AF1" w:rsidP="00193F35">
            <w:pPr>
              <w:jc w:val="both"/>
              <w:rPr>
                <w:rFonts w:ascii="Abadi" w:hAnsi="Abadi"/>
                <w:b/>
                <w:bCs/>
              </w:rPr>
            </w:pPr>
            <w:r w:rsidRPr="00C92618">
              <w:rPr>
                <w:rFonts w:ascii="Abadi" w:hAnsi="Abadi"/>
                <w:b/>
                <w:bCs/>
              </w:rPr>
              <w:t xml:space="preserve">2024 </w:t>
            </w:r>
            <w:proofErr w:type="gramStart"/>
            <w:r w:rsidRPr="00C92618">
              <w:rPr>
                <w:rFonts w:ascii="Abadi" w:hAnsi="Abadi"/>
                <w:b/>
                <w:bCs/>
              </w:rPr>
              <w:t>Score</w:t>
            </w:r>
            <w:proofErr w:type="gramEnd"/>
          </w:p>
        </w:tc>
      </w:tr>
      <w:tr w:rsidR="00CE3AF1" w:rsidRPr="00C92618" w14:paraId="354ECBB2" w14:textId="77777777" w:rsidTr="00193F35">
        <w:tc>
          <w:tcPr>
            <w:tcW w:w="1254" w:type="dxa"/>
          </w:tcPr>
          <w:p w14:paraId="51B53544" w14:textId="77777777" w:rsidR="00CE3AF1" w:rsidRPr="00C92618" w:rsidRDefault="00CE3AF1" w:rsidP="00193F35">
            <w:pPr>
              <w:jc w:val="both"/>
              <w:rPr>
                <w:rFonts w:ascii="Abadi" w:hAnsi="Abadi"/>
              </w:rPr>
            </w:pPr>
            <w:r w:rsidRPr="00C92618">
              <w:rPr>
                <w:rFonts w:ascii="Abadi" w:hAnsi="Abadi"/>
              </w:rPr>
              <w:t>3</w:t>
            </w:r>
          </w:p>
        </w:tc>
        <w:tc>
          <w:tcPr>
            <w:tcW w:w="5545" w:type="dxa"/>
          </w:tcPr>
          <w:p w14:paraId="2FC94AF2" w14:textId="77777777" w:rsidR="00CE3AF1" w:rsidRPr="00C92618" w:rsidRDefault="00CE3AF1" w:rsidP="00193F35">
            <w:pPr>
              <w:jc w:val="both"/>
              <w:rPr>
                <w:rFonts w:ascii="Abadi" w:hAnsi="Abadi"/>
                <w:b/>
                <w:bCs/>
              </w:rPr>
            </w:pPr>
            <w:r w:rsidRPr="00C92618">
              <w:rPr>
                <w:rFonts w:ascii="Abadi" w:hAnsi="Abadi"/>
                <w:bCs/>
              </w:rPr>
              <w:t>Relative likelihood of Disabled staff entering the formal capability process compared to non-Disabled staff.</w:t>
            </w:r>
          </w:p>
        </w:tc>
        <w:tc>
          <w:tcPr>
            <w:tcW w:w="1134" w:type="dxa"/>
          </w:tcPr>
          <w:p w14:paraId="584CE634" w14:textId="77777777" w:rsidR="00CE3AF1" w:rsidRPr="00C92618" w:rsidRDefault="00CE3AF1" w:rsidP="00193F35">
            <w:pPr>
              <w:jc w:val="both"/>
              <w:rPr>
                <w:rFonts w:ascii="Abadi" w:hAnsi="Abadi"/>
              </w:rPr>
            </w:pPr>
            <w:r w:rsidRPr="00C92618">
              <w:rPr>
                <w:rFonts w:ascii="Abadi" w:hAnsi="Abadi"/>
              </w:rPr>
              <w:t>0</w:t>
            </w:r>
          </w:p>
        </w:tc>
        <w:tc>
          <w:tcPr>
            <w:tcW w:w="1021" w:type="dxa"/>
          </w:tcPr>
          <w:p w14:paraId="19282CE3" w14:textId="77777777" w:rsidR="00CE3AF1" w:rsidRPr="00C92618" w:rsidRDefault="00CE3AF1" w:rsidP="00193F35">
            <w:pPr>
              <w:jc w:val="both"/>
              <w:rPr>
                <w:rFonts w:ascii="Abadi" w:hAnsi="Abadi"/>
              </w:rPr>
            </w:pPr>
            <w:r w:rsidRPr="00C92618">
              <w:rPr>
                <w:rFonts w:ascii="Abadi" w:hAnsi="Abadi"/>
              </w:rPr>
              <w:t>0</w:t>
            </w:r>
          </w:p>
        </w:tc>
      </w:tr>
    </w:tbl>
    <w:p w14:paraId="2AE92D3A" w14:textId="77777777" w:rsidR="00CE3AF1" w:rsidRPr="00C92618" w:rsidRDefault="00CE3AF1" w:rsidP="00CE3AF1">
      <w:pPr>
        <w:jc w:val="both"/>
        <w:rPr>
          <w:rFonts w:ascii="Abadi" w:hAnsi="Abadi"/>
          <w:noProof/>
        </w:rPr>
      </w:pPr>
    </w:p>
    <w:p w14:paraId="4E78E170" w14:textId="77777777" w:rsidR="00CE3AF1" w:rsidRPr="00C92618" w:rsidRDefault="00CE3AF1" w:rsidP="00CE3AF1">
      <w:pPr>
        <w:jc w:val="both"/>
        <w:rPr>
          <w:rFonts w:ascii="Abadi" w:hAnsi="Abadi"/>
        </w:rPr>
      </w:pPr>
      <w:r w:rsidRPr="00C92618">
        <w:rPr>
          <w:rFonts w:ascii="Abadi" w:hAnsi="Abadi"/>
        </w:rPr>
        <w:t>This metric is based on data from a two-year rolling average (2022/23 and 2023/24). During this period there were no Disabled and 2 non-Disabled staff entering the formal capability process on the grounds of performance.</w:t>
      </w:r>
    </w:p>
    <w:p w14:paraId="0E6D5796" w14:textId="77777777" w:rsidR="00CE3AF1" w:rsidRPr="00C92618" w:rsidRDefault="00CE3AF1" w:rsidP="00CE3AF1">
      <w:pPr>
        <w:jc w:val="both"/>
        <w:rPr>
          <w:rFonts w:ascii="Abadi" w:hAnsi="Abadi"/>
        </w:rPr>
      </w:pPr>
    </w:p>
    <w:p w14:paraId="13C5DD6D" w14:textId="77777777" w:rsidR="00CE3AF1" w:rsidRPr="00C92618" w:rsidRDefault="00CE3AF1" w:rsidP="00CE3AF1">
      <w:pPr>
        <w:jc w:val="both"/>
        <w:rPr>
          <w:rFonts w:ascii="Abadi" w:hAnsi="Abadi"/>
          <w:b/>
          <w:bCs/>
          <w:noProof/>
        </w:rPr>
      </w:pPr>
      <w:r w:rsidRPr="00C92618">
        <w:rPr>
          <w:rFonts w:ascii="Abadi" w:hAnsi="Abadi"/>
          <w:b/>
          <w:bCs/>
          <w:noProof/>
        </w:rPr>
        <w:t>Metrics 4 to 8 Staff Survey Responses</w:t>
      </w:r>
    </w:p>
    <w:p w14:paraId="28CC6076" w14:textId="77777777" w:rsidR="00CE3AF1" w:rsidRPr="00C92618" w:rsidRDefault="00CE3AF1" w:rsidP="00CE3AF1">
      <w:pPr>
        <w:jc w:val="both"/>
        <w:rPr>
          <w:rFonts w:ascii="Abadi" w:hAnsi="Abadi"/>
          <w:b/>
          <w:bCs/>
          <w:noProof/>
        </w:rPr>
      </w:pPr>
    </w:p>
    <w:p w14:paraId="439D5BBE" w14:textId="77777777" w:rsidR="00CE3AF1" w:rsidRPr="00C92618" w:rsidRDefault="00CE3AF1" w:rsidP="00CE3AF1">
      <w:pPr>
        <w:jc w:val="both"/>
        <w:rPr>
          <w:rFonts w:ascii="Abadi" w:hAnsi="Abadi"/>
          <w:noProof/>
        </w:rPr>
      </w:pPr>
      <w:r w:rsidRPr="00C92618">
        <w:rPr>
          <w:rFonts w:ascii="Abadi" w:hAnsi="Abadi"/>
          <w:noProof/>
        </w:rPr>
        <w:lastRenderedPageBreak/>
        <w:t>Seven out of the eight  national staff survey WDES metric areas show a favourable change,  as detailed in Table 9 below. With one area showing a significantly favourable change for the percentage of staff with a Long Term Condition or illness experiencing bullying, harrasment or abuse from patients, relatives, or the public in the last twelve months.</w:t>
      </w:r>
    </w:p>
    <w:p w14:paraId="06D56FCE" w14:textId="77777777" w:rsidR="00CE3AF1" w:rsidRPr="00C92618" w:rsidRDefault="00CE3AF1" w:rsidP="00CE3AF1">
      <w:pPr>
        <w:spacing w:line="276" w:lineRule="auto"/>
        <w:jc w:val="both"/>
        <w:rPr>
          <w:rFonts w:ascii="Abadi" w:hAnsi="Abadi"/>
          <w:noProof/>
        </w:rPr>
      </w:pPr>
    </w:p>
    <w:p w14:paraId="452ED4E7" w14:textId="77777777" w:rsidR="00CE3AF1" w:rsidRPr="00C92618" w:rsidRDefault="00CE3AF1" w:rsidP="00CE3AF1">
      <w:pPr>
        <w:jc w:val="both"/>
        <w:rPr>
          <w:rFonts w:ascii="Abadi" w:hAnsi="Abadi"/>
          <w:noProof/>
        </w:rPr>
      </w:pPr>
      <w:r w:rsidRPr="00C92618">
        <w:rPr>
          <w:rFonts w:ascii="Abadi" w:hAnsi="Abadi"/>
          <w:noProof/>
        </w:rPr>
        <w:t>The extent to which staff with a Long Term Condition or illness are satisfied with the extent to which our organisation values their work shows an unfavourable reduction of -2.5%. Data is being shared with teams and services to inform their staff  and  to gather member views in relation to potential improvement actions and areas of planning at team level to inform staff survey intention plans. Discussion has been taken to the DaWN staff network in May, to share the findings with them and to identify improvement actions.</w:t>
      </w:r>
    </w:p>
    <w:p w14:paraId="30AA7C0F" w14:textId="77777777" w:rsidR="00CE3AF1" w:rsidRPr="00C92618" w:rsidRDefault="00CE3AF1" w:rsidP="00CE3AF1">
      <w:pPr>
        <w:jc w:val="both"/>
        <w:rPr>
          <w:rFonts w:ascii="Abadi" w:hAnsi="Abadi"/>
          <w:noProof/>
        </w:rPr>
      </w:pPr>
    </w:p>
    <w:p w14:paraId="176612A2" w14:textId="77777777" w:rsidR="00CE3AF1" w:rsidRPr="00C92618" w:rsidRDefault="00CE3AF1" w:rsidP="00CE3AF1">
      <w:pPr>
        <w:jc w:val="both"/>
        <w:rPr>
          <w:rFonts w:ascii="Abadi" w:hAnsi="Abadi"/>
          <w:b/>
          <w:bCs/>
          <w:noProof/>
        </w:rPr>
      </w:pPr>
      <w:r w:rsidRPr="00C92618">
        <w:rPr>
          <w:rFonts w:ascii="Abadi" w:hAnsi="Abadi"/>
          <w:b/>
          <w:bCs/>
          <w:noProof/>
        </w:rPr>
        <w:t>Table 9</w:t>
      </w:r>
    </w:p>
    <w:p w14:paraId="41E599C2" w14:textId="77777777" w:rsidR="00CE3AF1" w:rsidRPr="00C92618" w:rsidRDefault="00CE3AF1" w:rsidP="00CE3AF1">
      <w:pPr>
        <w:spacing w:line="276" w:lineRule="auto"/>
        <w:jc w:val="both"/>
        <w:rPr>
          <w:rFonts w:ascii="Abadi" w:hAnsi="Abadi"/>
          <w:noProof/>
        </w:rPr>
      </w:pPr>
    </w:p>
    <w:tbl>
      <w:tblPr>
        <w:tblStyle w:val="TableGrid"/>
        <w:tblW w:w="0" w:type="auto"/>
        <w:tblInd w:w="-5" w:type="dxa"/>
        <w:tblLayout w:type="fixed"/>
        <w:tblLook w:val="04A0" w:firstRow="1" w:lastRow="0" w:firstColumn="1" w:lastColumn="0" w:noHBand="0" w:noVBand="1"/>
      </w:tblPr>
      <w:tblGrid>
        <w:gridCol w:w="3402"/>
        <w:gridCol w:w="851"/>
        <w:gridCol w:w="850"/>
        <w:gridCol w:w="851"/>
        <w:gridCol w:w="850"/>
        <w:gridCol w:w="1560"/>
        <w:gridCol w:w="850"/>
        <w:gridCol w:w="992"/>
      </w:tblGrid>
      <w:tr w:rsidR="00CE3AF1" w:rsidRPr="00C92618" w14:paraId="6C06976E" w14:textId="77777777" w:rsidTr="00193F35">
        <w:tc>
          <w:tcPr>
            <w:tcW w:w="3402" w:type="dxa"/>
            <w:shd w:val="clear" w:color="auto" w:fill="8DB3E2" w:themeFill="text2" w:themeFillTint="66"/>
          </w:tcPr>
          <w:p w14:paraId="20487734" w14:textId="77777777" w:rsidR="00CE3AF1" w:rsidRPr="00C92618" w:rsidRDefault="00CE3AF1" w:rsidP="00193F35">
            <w:pPr>
              <w:spacing w:line="276" w:lineRule="auto"/>
              <w:jc w:val="both"/>
              <w:rPr>
                <w:rFonts w:ascii="Abadi" w:hAnsi="Abadi" w:cs="Calibri"/>
                <w:b/>
                <w:bCs/>
                <w:noProof/>
              </w:rPr>
            </w:pPr>
            <w:r w:rsidRPr="00C92618">
              <w:rPr>
                <w:rFonts w:ascii="Abadi" w:hAnsi="Abadi" w:cs="Calibri"/>
                <w:b/>
                <w:bCs/>
                <w:noProof/>
              </w:rPr>
              <w:t xml:space="preserve">WDES Staff Survey Metrics </w:t>
            </w:r>
          </w:p>
          <w:p w14:paraId="1711C38F" w14:textId="77777777" w:rsidR="00CE3AF1" w:rsidRPr="00C92618" w:rsidRDefault="00CE3AF1" w:rsidP="00193F35">
            <w:pPr>
              <w:spacing w:line="276" w:lineRule="auto"/>
              <w:jc w:val="both"/>
              <w:rPr>
                <w:rFonts w:ascii="Abadi" w:hAnsi="Abadi" w:cs="Calibri"/>
                <w:b/>
                <w:bCs/>
                <w:noProof/>
              </w:rPr>
            </w:pPr>
            <w:r w:rsidRPr="00C92618">
              <w:rPr>
                <w:rFonts w:ascii="Abadi" w:hAnsi="Abadi" w:cs="Calibri"/>
                <w:b/>
                <w:bCs/>
                <w:noProof/>
              </w:rPr>
              <w:t>% Staff with a Long-Term Condition (LTC) or illlness</w:t>
            </w:r>
          </w:p>
        </w:tc>
        <w:tc>
          <w:tcPr>
            <w:tcW w:w="851" w:type="dxa"/>
            <w:shd w:val="clear" w:color="auto" w:fill="8DB3E2" w:themeFill="text2" w:themeFillTint="66"/>
          </w:tcPr>
          <w:p w14:paraId="1F880B3C" w14:textId="77777777" w:rsidR="00CE3AF1" w:rsidRPr="00C92618" w:rsidRDefault="00CE3AF1" w:rsidP="00193F35">
            <w:pPr>
              <w:spacing w:line="276" w:lineRule="auto"/>
              <w:jc w:val="both"/>
              <w:rPr>
                <w:rFonts w:ascii="Abadi" w:hAnsi="Abadi" w:cs="Calibri"/>
                <w:b/>
                <w:bCs/>
                <w:noProof/>
              </w:rPr>
            </w:pPr>
            <w:r w:rsidRPr="00C92618">
              <w:rPr>
                <w:rFonts w:ascii="Abadi" w:hAnsi="Abadi" w:cs="Calibri"/>
                <w:b/>
                <w:bCs/>
                <w:noProof/>
              </w:rPr>
              <w:t>2021</w:t>
            </w:r>
          </w:p>
        </w:tc>
        <w:tc>
          <w:tcPr>
            <w:tcW w:w="850" w:type="dxa"/>
            <w:shd w:val="clear" w:color="auto" w:fill="8DB3E2" w:themeFill="text2" w:themeFillTint="66"/>
          </w:tcPr>
          <w:p w14:paraId="4123BECF" w14:textId="77777777" w:rsidR="00CE3AF1" w:rsidRPr="00C92618" w:rsidRDefault="00CE3AF1" w:rsidP="00193F35">
            <w:pPr>
              <w:spacing w:line="276" w:lineRule="auto"/>
              <w:jc w:val="both"/>
              <w:rPr>
                <w:rFonts w:ascii="Abadi" w:hAnsi="Abadi" w:cs="Calibri"/>
                <w:b/>
                <w:bCs/>
                <w:noProof/>
              </w:rPr>
            </w:pPr>
            <w:r w:rsidRPr="00C92618">
              <w:rPr>
                <w:rFonts w:ascii="Abadi" w:hAnsi="Abadi" w:cs="Calibri"/>
                <w:b/>
                <w:bCs/>
                <w:noProof/>
              </w:rPr>
              <w:t>2022</w:t>
            </w:r>
          </w:p>
        </w:tc>
        <w:tc>
          <w:tcPr>
            <w:tcW w:w="851" w:type="dxa"/>
            <w:shd w:val="clear" w:color="auto" w:fill="8DB3E2" w:themeFill="text2" w:themeFillTint="66"/>
          </w:tcPr>
          <w:p w14:paraId="135BE604" w14:textId="77777777" w:rsidR="00CE3AF1" w:rsidRPr="00C92618" w:rsidRDefault="00CE3AF1" w:rsidP="00193F35">
            <w:pPr>
              <w:spacing w:line="276" w:lineRule="auto"/>
              <w:jc w:val="both"/>
              <w:rPr>
                <w:rFonts w:ascii="Abadi" w:hAnsi="Abadi" w:cs="Calibri"/>
                <w:b/>
                <w:bCs/>
                <w:noProof/>
              </w:rPr>
            </w:pPr>
            <w:r w:rsidRPr="00C92618">
              <w:rPr>
                <w:rFonts w:ascii="Abadi" w:hAnsi="Abadi" w:cs="Calibri"/>
                <w:b/>
                <w:bCs/>
                <w:noProof/>
              </w:rPr>
              <w:t>2023</w:t>
            </w:r>
          </w:p>
        </w:tc>
        <w:tc>
          <w:tcPr>
            <w:tcW w:w="2410" w:type="dxa"/>
            <w:gridSpan w:val="2"/>
            <w:shd w:val="clear" w:color="auto" w:fill="8DB3E2" w:themeFill="text2" w:themeFillTint="66"/>
          </w:tcPr>
          <w:p w14:paraId="4793E0A0" w14:textId="77777777" w:rsidR="00CE3AF1" w:rsidRPr="00C92618" w:rsidRDefault="00CE3AF1" w:rsidP="00193F35">
            <w:pPr>
              <w:spacing w:line="276" w:lineRule="auto"/>
              <w:jc w:val="both"/>
              <w:rPr>
                <w:rFonts w:ascii="Abadi" w:hAnsi="Abadi" w:cstheme="minorHAnsi"/>
                <w:b/>
                <w:bCs/>
                <w:noProof/>
              </w:rPr>
            </w:pPr>
            <w:r w:rsidRPr="00C92618">
              <w:rPr>
                <w:rFonts w:ascii="Abadi" w:hAnsi="Abadi" w:cstheme="minorHAnsi"/>
                <w:b/>
                <w:bCs/>
                <w:noProof/>
              </w:rPr>
              <w:t>Year on Year Change</w:t>
            </w:r>
          </w:p>
        </w:tc>
        <w:tc>
          <w:tcPr>
            <w:tcW w:w="1842" w:type="dxa"/>
            <w:gridSpan w:val="2"/>
            <w:shd w:val="clear" w:color="auto" w:fill="8DB3E2" w:themeFill="text2" w:themeFillTint="66"/>
          </w:tcPr>
          <w:p w14:paraId="0F1D244F" w14:textId="77777777" w:rsidR="00CE3AF1" w:rsidRPr="00C92618" w:rsidRDefault="00CE3AF1" w:rsidP="00193F35">
            <w:pPr>
              <w:spacing w:line="276" w:lineRule="auto"/>
              <w:jc w:val="both"/>
              <w:rPr>
                <w:rFonts w:ascii="Abadi" w:hAnsi="Abadi" w:cstheme="minorHAnsi"/>
                <w:b/>
                <w:bCs/>
                <w:noProof/>
              </w:rPr>
            </w:pPr>
            <w:r w:rsidRPr="00C92618">
              <w:rPr>
                <w:rFonts w:ascii="Abadi" w:hAnsi="Abadi" w:cstheme="minorHAnsi"/>
                <w:b/>
                <w:bCs/>
                <w:noProof/>
              </w:rPr>
              <w:t>Against Sector Average</w:t>
            </w:r>
          </w:p>
        </w:tc>
      </w:tr>
      <w:tr w:rsidR="00CE3AF1" w:rsidRPr="00C92618" w14:paraId="098FDAA7" w14:textId="77777777" w:rsidTr="00193F35">
        <w:tc>
          <w:tcPr>
            <w:tcW w:w="3402" w:type="dxa"/>
          </w:tcPr>
          <w:p w14:paraId="53EC41A8"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  experiencing harassment,bullying or abuse from patients, relatives or the public in the last 12 months</w:t>
            </w:r>
          </w:p>
        </w:tc>
        <w:tc>
          <w:tcPr>
            <w:tcW w:w="851" w:type="dxa"/>
          </w:tcPr>
          <w:p w14:paraId="299FBD0C"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31.2%</w:t>
            </w:r>
          </w:p>
        </w:tc>
        <w:tc>
          <w:tcPr>
            <w:tcW w:w="850" w:type="dxa"/>
          </w:tcPr>
          <w:p w14:paraId="7024483A"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30.9%</w:t>
            </w:r>
          </w:p>
        </w:tc>
        <w:tc>
          <w:tcPr>
            <w:tcW w:w="851" w:type="dxa"/>
          </w:tcPr>
          <w:p w14:paraId="3AF3D53A"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25.7%</w:t>
            </w:r>
          </w:p>
        </w:tc>
        <w:tc>
          <w:tcPr>
            <w:tcW w:w="850" w:type="dxa"/>
          </w:tcPr>
          <w:p w14:paraId="3747EB29"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-5.2%</w:t>
            </w:r>
          </w:p>
        </w:tc>
        <w:tc>
          <w:tcPr>
            <w:tcW w:w="1560" w:type="dxa"/>
            <w:shd w:val="clear" w:color="auto" w:fill="C2D69B" w:themeFill="accent3" w:themeFillTint="99"/>
          </w:tcPr>
          <w:p w14:paraId="5D155C9C"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 xml:space="preserve"> Significantly</w:t>
            </w:r>
          </w:p>
          <w:p w14:paraId="178EA8E9"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Favourable</w:t>
            </w:r>
          </w:p>
        </w:tc>
        <w:tc>
          <w:tcPr>
            <w:tcW w:w="850" w:type="dxa"/>
          </w:tcPr>
          <w:p w14:paraId="56F2BD1F"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28.9%</w:t>
            </w:r>
          </w:p>
        </w:tc>
        <w:tc>
          <w:tcPr>
            <w:tcW w:w="992" w:type="dxa"/>
            <w:shd w:val="clear" w:color="auto" w:fill="C2D69B" w:themeFill="accent3" w:themeFillTint="99"/>
          </w:tcPr>
          <w:p w14:paraId="394E3D3B"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Better</w:t>
            </w:r>
          </w:p>
        </w:tc>
      </w:tr>
      <w:tr w:rsidR="00CE3AF1" w:rsidRPr="00C92618" w14:paraId="66EADADA" w14:textId="77777777" w:rsidTr="00193F35">
        <w:tc>
          <w:tcPr>
            <w:tcW w:w="3402" w:type="dxa"/>
          </w:tcPr>
          <w:p w14:paraId="6EC3E074" w14:textId="77777777" w:rsidR="00CE3AF1" w:rsidRPr="00C92618" w:rsidRDefault="00CE3AF1" w:rsidP="00193F35">
            <w:pPr>
              <w:spacing w:line="276" w:lineRule="auto"/>
              <w:jc w:val="both"/>
              <w:rPr>
                <w:rFonts w:ascii="Abadi" w:hAnsi="Abadi"/>
                <w:noProof/>
              </w:rPr>
            </w:pPr>
            <w:r w:rsidRPr="00C92618">
              <w:rPr>
                <w:rFonts w:ascii="Abadi" w:hAnsi="Abadi" w:cs="Calibri"/>
                <w:noProof/>
              </w:rPr>
              <w:t>% experiencing harassment, bullying or abuse from staff in the last 12 months</w:t>
            </w:r>
          </w:p>
        </w:tc>
        <w:tc>
          <w:tcPr>
            <w:tcW w:w="851" w:type="dxa"/>
          </w:tcPr>
          <w:p w14:paraId="6B86AD49"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12.2%</w:t>
            </w:r>
          </w:p>
        </w:tc>
        <w:tc>
          <w:tcPr>
            <w:tcW w:w="850" w:type="dxa"/>
          </w:tcPr>
          <w:p w14:paraId="28B2C022"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9.6%</w:t>
            </w:r>
          </w:p>
        </w:tc>
        <w:tc>
          <w:tcPr>
            <w:tcW w:w="851" w:type="dxa"/>
          </w:tcPr>
          <w:p w14:paraId="6C81A081"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8.7%</w:t>
            </w:r>
          </w:p>
        </w:tc>
        <w:tc>
          <w:tcPr>
            <w:tcW w:w="850" w:type="dxa"/>
          </w:tcPr>
          <w:p w14:paraId="43F771FE"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-0.9%</w:t>
            </w:r>
          </w:p>
        </w:tc>
        <w:tc>
          <w:tcPr>
            <w:tcW w:w="1560" w:type="dxa"/>
            <w:shd w:val="clear" w:color="auto" w:fill="C2D69B" w:themeFill="accent3" w:themeFillTint="99"/>
          </w:tcPr>
          <w:p w14:paraId="06DD044E"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Favourable</w:t>
            </w:r>
          </w:p>
        </w:tc>
        <w:tc>
          <w:tcPr>
            <w:tcW w:w="850" w:type="dxa"/>
          </w:tcPr>
          <w:p w14:paraId="67FACE72"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11.9%</w:t>
            </w:r>
          </w:p>
        </w:tc>
        <w:tc>
          <w:tcPr>
            <w:tcW w:w="992" w:type="dxa"/>
            <w:shd w:val="clear" w:color="auto" w:fill="C2D69B" w:themeFill="accent3" w:themeFillTint="99"/>
          </w:tcPr>
          <w:p w14:paraId="1BCEC867"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Better</w:t>
            </w:r>
          </w:p>
        </w:tc>
      </w:tr>
      <w:tr w:rsidR="00CE3AF1" w:rsidRPr="00C92618" w14:paraId="0DB37FC2" w14:textId="77777777" w:rsidTr="00193F35">
        <w:tc>
          <w:tcPr>
            <w:tcW w:w="3402" w:type="dxa"/>
          </w:tcPr>
          <w:p w14:paraId="5ADAC951"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 experiencing harassment,bullying or abuse from colleaugues in the last 12 months</w:t>
            </w:r>
          </w:p>
        </w:tc>
        <w:tc>
          <w:tcPr>
            <w:tcW w:w="851" w:type="dxa"/>
          </w:tcPr>
          <w:p w14:paraId="166A0664"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22.3%</w:t>
            </w:r>
          </w:p>
        </w:tc>
        <w:tc>
          <w:tcPr>
            <w:tcW w:w="850" w:type="dxa"/>
          </w:tcPr>
          <w:p w14:paraId="7C83D542"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19.7%</w:t>
            </w:r>
          </w:p>
        </w:tc>
        <w:tc>
          <w:tcPr>
            <w:tcW w:w="851" w:type="dxa"/>
          </w:tcPr>
          <w:p w14:paraId="68994840"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17.2%</w:t>
            </w:r>
          </w:p>
        </w:tc>
        <w:tc>
          <w:tcPr>
            <w:tcW w:w="850" w:type="dxa"/>
          </w:tcPr>
          <w:p w14:paraId="5B75A214"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-2.5%</w:t>
            </w:r>
          </w:p>
        </w:tc>
        <w:tc>
          <w:tcPr>
            <w:tcW w:w="1560" w:type="dxa"/>
            <w:shd w:val="clear" w:color="auto" w:fill="C2D69B" w:themeFill="accent3" w:themeFillTint="99"/>
          </w:tcPr>
          <w:p w14:paraId="4AD7C982"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Favourable</w:t>
            </w:r>
          </w:p>
        </w:tc>
        <w:tc>
          <w:tcPr>
            <w:tcW w:w="850" w:type="dxa"/>
          </w:tcPr>
          <w:p w14:paraId="535A5DD0"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18.9%</w:t>
            </w:r>
          </w:p>
        </w:tc>
        <w:tc>
          <w:tcPr>
            <w:tcW w:w="992" w:type="dxa"/>
            <w:shd w:val="clear" w:color="auto" w:fill="C2D69B" w:themeFill="accent3" w:themeFillTint="99"/>
          </w:tcPr>
          <w:p w14:paraId="4CCDC962"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Better</w:t>
            </w:r>
          </w:p>
        </w:tc>
      </w:tr>
      <w:tr w:rsidR="00CE3AF1" w:rsidRPr="00C92618" w14:paraId="11F6D691" w14:textId="77777777" w:rsidTr="00193F35">
        <w:tc>
          <w:tcPr>
            <w:tcW w:w="3402" w:type="dxa"/>
          </w:tcPr>
          <w:p w14:paraId="3A38F012"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 sayingthe last time that they experienced arassment bullying or abuse at work, they or a colleaugue reported it</w:t>
            </w:r>
          </w:p>
        </w:tc>
        <w:tc>
          <w:tcPr>
            <w:tcW w:w="851" w:type="dxa"/>
          </w:tcPr>
          <w:p w14:paraId="355EBE07"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66.9%</w:t>
            </w:r>
          </w:p>
        </w:tc>
        <w:tc>
          <w:tcPr>
            <w:tcW w:w="850" w:type="dxa"/>
          </w:tcPr>
          <w:p w14:paraId="0EACE411"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59.4%</w:t>
            </w:r>
          </w:p>
        </w:tc>
        <w:tc>
          <w:tcPr>
            <w:tcW w:w="851" w:type="dxa"/>
          </w:tcPr>
          <w:p w14:paraId="19B62BA2"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61.2%</w:t>
            </w:r>
          </w:p>
        </w:tc>
        <w:tc>
          <w:tcPr>
            <w:tcW w:w="850" w:type="dxa"/>
          </w:tcPr>
          <w:p w14:paraId="7CB495F4"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1.8%</w:t>
            </w:r>
          </w:p>
        </w:tc>
        <w:tc>
          <w:tcPr>
            <w:tcW w:w="1560" w:type="dxa"/>
            <w:shd w:val="clear" w:color="auto" w:fill="C2D69B" w:themeFill="accent3" w:themeFillTint="99"/>
          </w:tcPr>
          <w:p w14:paraId="36E9A302"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Favourable</w:t>
            </w:r>
          </w:p>
        </w:tc>
        <w:tc>
          <w:tcPr>
            <w:tcW w:w="850" w:type="dxa"/>
          </w:tcPr>
          <w:p w14:paraId="3C1F56D3"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59.9%</w:t>
            </w:r>
          </w:p>
        </w:tc>
        <w:tc>
          <w:tcPr>
            <w:tcW w:w="992" w:type="dxa"/>
            <w:shd w:val="clear" w:color="auto" w:fill="C2D69B" w:themeFill="accent3" w:themeFillTint="99"/>
          </w:tcPr>
          <w:p w14:paraId="1952A0FD"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Better</w:t>
            </w:r>
          </w:p>
        </w:tc>
      </w:tr>
      <w:tr w:rsidR="00CE3AF1" w:rsidRPr="00C92618" w14:paraId="3D08F5C1" w14:textId="77777777" w:rsidTr="00193F35">
        <w:tc>
          <w:tcPr>
            <w:tcW w:w="3402" w:type="dxa"/>
          </w:tcPr>
          <w:p w14:paraId="4592252F"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 believing that the organisation provides equal opportunities for career progression or promotion</w:t>
            </w:r>
          </w:p>
        </w:tc>
        <w:tc>
          <w:tcPr>
            <w:tcW w:w="851" w:type="dxa"/>
          </w:tcPr>
          <w:p w14:paraId="12A951DF"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50.0%</w:t>
            </w:r>
          </w:p>
        </w:tc>
        <w:tc>
          <w:tcPr>
            <w:tcW w:w="850" w:type="dxa"/>
          </w:tcPr>
          <w:p w14:paraId="04B68AAB"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57.4%</w:t>
            </w:r>
          </w:p>
        </w:tc>
        <w:tc>
          <w:tcPr>
            <w:tcW w:w="851" w:type="dxa"/>
          </w:tcPr>
          <w:p w14:paraId="69F26D81"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59.3%</w:t>
            </w:r>
          </w:p>
        </w:tc>
        <w:tc>
          <w:tcPr>
            <w:tcW w:w="850" w:type="dxa"/>
          </w:tcPr>
          <w:p w14:paraId="145FCE39"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1.9%</w:t>
            </w:r>
          </w:p>
        </w:tc>
        <w:tc>
          <w:tcPr>
            <w:tcW w:w="1560" w:type="dxa"/>
            <w:shd w:val="clear" w:color="auto" w:fill="C2D69B" w:themeFill="accent3" w:themeFillTint="99"/>
          </w:tcPr>
          <w:p w14:paraId="3A772AD0"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Favourable</w:t>
            </w:r>
          </w:p>
        </w:tc>
        <w:tc>
          <w:tcPr>
            <w:tcW w:w="850" w:type="dxa"/>
          </w:tcPr>
          <w:p w14:paraId="08B239B1"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56.7%</w:t>
            </w:r>
          </w:p>
        </w:tc>
        <w:tc>
          <w:tcPr>
            <w:tcW w:w="992" w:type="dxa"/>
            <w:shd w:val="clear" w:color="auto" w:fill="C2D69B" w:themeFill="accent3" w:themeFillTint="99"/>
          </w:tcPr>
          <w:p w14:paraId="385C03C2"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Better</w:t>
            </w:r>
          </w:p>
        </w:tc>
      </w:tr>
      <w:tr w:rsidR="00CE3AF1" w:rsidRPr="00C92618" w14:paraId="6F8C1C70" w14:textId="77777777" w:rsidTr="00193F35">
        <w:tc>
          <w:tcPr>
            <w:tcW w:w="3402" w:type="dxa"/>
          </w:tcPr>
          <w:p w14:paraId="1BC8C382"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 who felt pressure from their manager to come to work when not feeling well enough to work</w:t>
            </w:r>
          </w:p>
        </w:tc>
        <w:tc>
          <w:tcPr>
            <w:tcW w:w="851" w:type="dxa"/>
          </w:tcPr>
          <w:p w14:paraId="00011644"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17.0%</w:t>
            </w:r>
          </w:p>
        </w:tc>
        <w:tc>
          <w:tcPr>
            <w:tcW w:w="850" w:type="dxa"/>
          </w:tcPr>
          <w:p w14:paraId="44BFDF7B"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16.2%</w:t>
            </w:r>
          </w:p>
        </w:tc>
        <w:tc>
          <w:tcPr>
            <w:tcW w:w="851" w:type="dxa"/>
          </w:tcPr>
          <w:p w14:paraId="0FED550B"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14.9%</w:t>
            </w:r>
          </w:p>
        </w:tc>
        <w:tc>
          <w:tcPr>
            <w:tcW w:w="850" w:type="dxa"/>
          </w:tcPr>
          <w:p w14:paraId="1EE442CB"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-1.4%</w:t>
            </w:r>
          </w:p>
        </w:tc>
        <w:tc>
          <w:tcPr>
            <w:tcW w:w="1560" w:type="dxa"/>
            <w:shd w:val="clear" w:color="auto" w:fill="C2D69B" w:themeFill="accent3" w:themeFillTint="99"/>
          </w:tcPr>
          <w:p w14:paraId="35E31746"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Favourable</w:t>
            </w:r>
          </w:p>
        </w:tc>
        <w:tc>
          <w:tcPr>
            <w:tcW w:w="850" w:type="dxa"/>
          </w:tcPr>
          <w:p w14:paraId="6400B4BD"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19.4%</w:t>
            </w:r>
          </w:p>
        </w:tc>
        <w:tc>
          <w:tcPr>
            <w:tcW w:w="992" w:type="dxa"/>
            <w:shd w:val="clear" w:color="auto" w:fill="C2D69B" w:themeFill="accent3" w:themeFillTint="99"/>
          </w:tcPr>
          <w:p w14:paraId="0A22AE79"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Better</w:t>
            </w:r>
          </w:p>
        </w:tc>
      </w:tr>
      <w:tr w:rsidR="00CE3AF1" w:rsidRPr="00C92618" w14:paraId="265C6EBE" w14:textId="77777777" w:rsidTr="00193F35">
        <w:tc>
          <w:tcPr>
            <w:tcW w:w="3402" w:type="dxa"/>
            <w:shd w:val="clear" w:color="auto" w:fill="FABF8F" w:themeFill="accent6" w:themeFillTint="99"/>
          </w:tcPr>
          <w:p w14:paraId="6D2BF5A3"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 satisfied with the extent to which their organisation values their work</w:t>
            </w:r>
          </w:p>
        </w:tc>
        <w:tc>
          <w:tcPr>
            <w:tcW w:w="851" w:type="dxa"/>
            <w:shd w:val="clear" w:color="auto" w:fill="FABF8F" w:themeFill="accent6" w:themeFillTint="99"/>
          </w:tcPr>
          <w:p w14:paraId="4A7B5F48"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41.5%</w:t>
            </w:r>
          </w:p>
        </w:tc>
        <w:tc>
          <w:tcPr>
            <w:tcW w:w="850" w:type="dxa"/>
            <w:shd w:val="clear" w:color="auto" w:fill="FABF8F" w:themeFill="accent6" w:themeFillTint="99"/>
          </w:tcPr>
          <w:p w14:paraId="7A032ABD"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49.9%</w:t>
            </w:r>
          </w:p>
        </w:tc>
        <w:tc>
          <w:tcPr>
            <w:tcW w:w="851" w:type="dxa"/>
            <w:shd w:val="clear" w:color="auto" w:fill="FABF8F" w:themeFill="accent6" w:themeFillTint="99"/>
          </w:tcPr>
          <w:p w14:paraId="668B8FD7"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47.4%</w:t>
            </w:r>
          </w:p>
        </w:tc>
        <w:tc>
          <w:tcPr>
            <w:tcW w:w="850" w:type="dxa"/>
            <w:shd w:val="clear" w:color="auto" w:fill="FABF8F" w:themeFill="accent6" w:themeFillTint="99"/>
          </w:tcPr>
          <w:p w14:paraId="131A1CA0"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-2.5%</w:t>
            </w:r>
          </w:p>
        </w:tc>
        <w:tc>
          <w:tcPr>
            <w:tcW w:w="1560" w:type="dxa"/>
            <w:shd w:val="clear" w:color="auto" w:fill="FABF8F" w:themeFill="accent6" w:themeFillTint="99"/>
          </w:tcPr>
          <w:p w14:paraId="6BC8E0B7"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Unfavourable</w:t>
            </w:r>
          </w:p>
        </w:tc>
        <w:tc>
          <w:tcPr>
            <w:tcW w:w="850" w:type="dxa"/>
          </w:tcPr>
          <w:p w14:paraId="1461CE56"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45.4%</w:t>
            </w:r>
          </w:p>
        </w:tc>
        <w:tc>
          <w:tcPr>
            <w:tcW w:w="992" w:type="dxa"/>
            <w:shd w:val="clear" w:color="auto" w:fill="C2D69B" w:themeFill="accent3" w:themeFillTint="99"/>
          </w:tcPr>
          <w:p w14:paraId="0735647B"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Better</w:t>
            </w:r>
          </w:p>
        </w:tc>
      </w:tr>
      <w:tr w:rsidR="00CE3AF1" w:rsidRPr="00C92618" w14:paraId="46A870C6" w14:textId="77777777" w:rsidTr="00193F35">
        <w:tc>
          <w:tcPr>
            <w:tcW w:w="3402" w:type="dxa"/>
          </w:tcPr>
          <w:p w14:paraId="4311415F" w14:textId="77777777" w:rsidR="00CE3AF1" w:rsidRPr="00C92618" w:rsidRDefault="00CE3AF1" w:rsidP="00193F35">
            <w:pPr>
              <w:spacing w:line="276" w:lineRule="auto"/>
              <w:jc w:val="both"/>
              <w:rPr>
                <w:rFonts w:ascii="Abadi" w:hAnsi="Abadi" w:cs="Calibri"/>
                <w:noProof/>
              </w:rPr>
            </w:pPr>
            <w:r w:rsidRPr="00C92618">
              <w:rPr>
                <w:rFonts w:ascii="Abadi" w:hAnsi="Abadi" w:cs="Calibri"/>
                <w:noProof/>
              </w:rPr>
              <w:t>% saying their employer has made reasonable adjustments to enable them to carry our their work</w:t>
            </w:r>
          </w:p>
        </w:tc>
        <w:tc>
          <w:tcPr>
            <w:tcW w:w="851" w:type="dxa"/>
          </w:tcPr>
          <w:p w14:paraId="0805A4E5"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N/A</w:t>
            </w:r>
          </w:p>
        </w:tc>
        <w:tc>
          <w:tcPr>
            <w:tcW w:w="850" w:type="dxa"/>
          </w:tcPr>
          <w:p w14:paraId="5B938E53"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83.5%</w:t>
            </w:r>
          </w:p>
        </w:tc>
        <w:tc>
          <w:tcPr>
            <w:tcW w:w="851" w:type="dxa"/>
          </w:tcPr>
          <w:p w14:paraId="46C7FBA4"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86.5%</w:t>
            </w:r>
          </w:p>
        </w:tc>
        <w:tc>
          <w:tcPr>
            <w:tcW w:w="850" w:type="dxa"/>
          </w:tcPr>
          <w:p w14:paraId="010D953A"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3.0%</w:t>
            </w:r>
          </w:p>
        </w:tc>
        <w:tc>
          <w:tcPr>
            <w:tcW w:w="1560" w:type="dxa"/>
            <w:shd w:val="clear" w:color="auto" w:fill="C2D69B" w:themeFill="accent3" w:themeFillTint="99"/>
          </w:tcPr>
          <w:p w14:paraId="012292F6"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Favourable</w:t>
            </w:r>
          </w:p>
        </w:tc>
        <w:tc>
          <w:tcPr>
            <w:tcW w:w="850" w:type="dxa"/>
          </w:tcPr>
          <w:p w14:paraId="266CA663"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79.3%</w:t>
            </w:r>
          </w:p>
        </w:tc>
        <w:tc>
          <w:tcPr>
            <w:tcW w:w="992" w:type="dxa"/>
            <w:shd w:val="clear" w:color="auto" w:fill="C2D69B" w:themeFill="accent3" w:themeFillTint="99"/>
          </w:tcPr>
          <w:p w14:paraId="3137D9BA" w14:textId="77777777" w:rsidR="00CE3AF1" w:rsidRPr="00C92618" w:rsidRDefault="00CE3AF1" w:rsidP="00193F35">
            <w:pPr>
              <w:spacing w:line="276" w:lineRule="auto"/>
              <w:jc w:val="both"/>
              <w:rPr>
                <w:rFonts w:ascii="Abadi" w:hAnsi="Abadi" w:cstheme="minorHAnsi"/>
                <w:noProof/>
              </w:rPr>
            </w:pPr>
            <w:r w:rsidRPr="00C92618">
              <w:rPr>
                <w:rFonts w:ascii="Abadi" w:hAnsi="Abadi" w:cstheme="minorHAnsi"/>
                <w:noProof/>
              </w:rPr>
              <w:t>Better</w:t>
            </w:r>
          </w:p>
        </w:tc>
      </w:tr>
    </w:tbl>
    <w:p w14:paraId="46FB46F7" w14:textId="77777777" w:rsidR="00CE3AF1" w:rsidRPr="00C92618" w:rsidRDefault="00CE3AF1" w:rsidP="00CE3AF1">
      <w:pPr>
        <w:spacing w:line="276" w:lineRule="auto"/>
        <w:jc w:val="both"/>
        <w:rPr>
          <w:rFonts w:ascii="Abadi" w:hAnsi="Abadi"/>
          <w:b/>
          <w:bCs/>
          <w:noProof/>
        </w:rPr>
      </w:pPr>
    </w:p>
    <w:p w14:paraId="30DE4A99" w14:textId="77777777" w:rsidR="00CE3AF1" w:rsidRPr="00C92618" w:rsidRDefault="00CE3AF1" w:rsidP="00CE3AF1">
      <w:pPr>
        <w:spacing w:line="276" w:lineRule="auto"/>
        <w:jc w:val="both"/>
        <w:rPr>
          <w:rFonts w:ascii="Abadi" w:hAnsi="Abadi"/>
          <w:b/>
          <w:bCs/>
          <w:noProof/>
        </w:rPr>
      </w:pPr>
      <w:r w:rsidRPr="00C92618">
        <w:rPr>
          <w:rFonts w:ascii="Abadi" w:hAnsi="Abadi"/>
          <w:b/>
          <w:bCs/>
          <w:noProof/>
        </w:rPr>
        <w:t>Metric 9</w:t>
      </w:r>
    </w:p>
    <w:p w14:paraId="5AE09364" w14:textId="77777777" w:rsidR="00CE3AF1" w:rsidRPr="00C92618" w:rsidRDefault="00CE3AF1" w:rsidP="00CE3AF1">
      <w:pPr>
        <w:spacing w:line="276" w:lineRule="auto"/>
        <w:jc w:val="both"/>
        <w:rPr>
          <w:rFonts w:ascii="Abadi" w:hAnsi="Abadi"/>
          <w:noProof/>
        </w:rPr>
      </w:pPr>
    </w:p>
    <w:p w14:paraId="74834BED" w14:textId="77777777" w:rsidR="00CE3AF1" w:rsidRDefault="00CE3AF1" w:rsidP="00CE3AF1">
      <w:pPr>
        <w:spacing w:line="276" w:lineRule="auto"/>
        <w:jc w:val="both"/>
        <w:rPr>
          <w:rFonts w:ascii="Abadi" w:hAnsi="Abadi"/>
          <w:noProof/>
        </w:rPr>
      </w:pPr>
      <w:r w:rsidRPr="00C92618">
        <w:rPr>
          <w:rFonts w:ascii="Abadi" w:hAnsi="Abadi"/>
          <w:noProof/>
        </w:rPr>
        <w:t>This focuses on the staff engagment score which  is based on three sub themes within the staff survey; motivation, involvement and advocacy.Overall the Trust engagement score is 7.14.</w:t>
      </w:r>
    </w:p>
    <w:p w14:paraId="14D54036" w14:textId="77777777" w:rsidR="00CE3AF1" w:rsidRPr="00C92618" w:rsidRDefault="00CE3AF1" w:rsidP="00CE3AF1">
      <w:pPr>
        <w:spacing w:line="276" w:lineRule="auto"/>
        <w:jc w:val="both"/>
        <w:rPr>
          <w:rFonts w:ascii="Abadi" w:hAnsi="Abadi"/>
          <w:noProof/>
        </w:rPr>
      </w:pPr>
    </w:p>
    <w:p w14:paraId="6C04B2D0" w14:textId="77777777" w:rsidR="00CE3AF1" w:rsidRPr="00C92618" w:rsidRDefault="00CE3AF1" w:rsidP="00CE3AF1">
      <w:pPr>
        <w:spacing w:line="276" w:lineRule="auto"/>
        <w:jc w:val="both"/>
        <w:rPr>
          <w:rFonts w:ascii="Abadi" w:hAnsi="Abadi"/>
          <w:b/>
          <w:bCs/>
          <w:noProof/>
        </w:rPr>
      </w:pPr>
    </w:p>
    <w:p w14:paraId="0B4CCF2D" w14:textId="77777777" w:rsidR="00CE3AF1" w:rsidRPr="00C92618" w:rsidRDefault="00CE3AF1" w:rsidP="00CE3AF1">
      <w:pPr>
        <w:spacing w:line="276" w:lineRule="auto"/>
        <w:jc w:val="both"/>
        <w:rPr>
          <w:rFonts w:ascii="Abadi" w:hAnsi="Abadi"/>
          <w:b/>
          <w:bCs/>
          <w:noProof/>
        </w:rPr>
      </w:pPr>
    </w:p>
    <w:p w14:paraId="1CB49D55" w14:textId="77777777" w:rsidR="00CE3AF1" w:rsidRPr="00C92618" w:rsidRDefault="00CE3AF1" w:rsidP="00CE3AF1">
      <w:pPr>
        <w:spacing w:line="276" w:lineRule="auto"/>
        <w:jc w:val="both"/>
        <w:rPr>
          <w:rFonts w:ascii="Abadi" w:hAnsi="Abadi"/>
          <w:b/>
          <w:bCs/>
          <w:noProof/>
        </w:rPr>
      </w:pPr>
      <w:r w:rsidRPr="00C92618">
        <w:rPr>
          <w:rFonts w:ascii="Abadi" w:hAnsi="Abadi"/>
          <w:noProof/>
        </w:rPr>
        <mc:AlternateContent>
          <mc:Choice Requires="wps">
            <w:drawing>
              <wp:anchor distT="0" distB="0" distL="114300" distR="114300" simplePos="0" relativeHeight="251665408" behindDoc="0" locked="0" layoutInCell="1" allowOverlap="1" wp14:anchorId="7354D4A2" wp14:editId="186E485C">
                <wp:simplePos x="0" y="0"/>
                <wp:positionH relativeFrom="column">
                  <wp:posOffset>1562100</wp:posOffset>
                </wp:positionH>
                <wp:positionV relativeFrom="paragraph">
                  <wp:posOffset>13335</wp:posOffset>
                </wp:positionV>
                <wp:extent cx="2952328" cy="2160240"/>
                <wp:effectExtent l="19050" t="19050" r="19685" b="12065"/>
                <wp:wrapNone/>
                <wp:docPr id="9" name="Rectangle: Rounded Corners 8">
                  <a:extLst xmlns:a="http://schemas.openxmlformats.org/drawingml/2006/main">
                    <a:ext uri="{FF2B5EF4-FFF2-40B4-BE49-F238E27FC236}">
                      <a16:creationId xmlns:a16="http://schemas.microsoft.com/office/drawing/2014/main" id="{0BC895CD-7109-D451-949D-3057E4CC2B84}"/>
                    </a:ext>
                  </a:extLst>
                </wp:docPr>
                <wp:cNvGraphicFramePr/>
                <a:graphic xmlns:a="http://schemas.openxmlformats.org/drawingml/2006/main">
                  <a:graphicData uri="http://schemas.microsoft.com/office/word/2010/wordprocessingShape">
                    <wps:wsp>
                      <wps:cNvSpPr/>
                      <wps:spPr>
                        <a:xfrm>
                          <a:off x="0" y="0"/>
                          <a:ext cx="2952328" cy="2160240"/>
                        </a:xfrm>
                        <a:prstGeom prst="roundRect">
                          <a:avLst/>
                        </a:prstGeom>
                        <a:noFill/>
                        <a:ln w="38100">
                          <a:solidFill>
                            <a:srgbClr val="ED8B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922A69" w14:textId="77777777" w:rsidR="00CE3AF1" w:rsidRDefault="00CE3AF1" w:rsidP="00CE3AF1">
                            <w:pPr>
                              <w:jc w:val="center"/>
                              <w:rPr>
                                <w:rFonts w:cs="Arial"/>
                                <w:b/>
                                <w:bCs/>
                                <w:color w:val="000000" w:themeColor="text1"/>
                                <w:kern w:val="24"/>
                                <w:sz w:val="36"/>
                                <w:szCs w:val="36"/>
                              </w:rPr>
                            </w:pPr>
                            <w:r>
                              <w:rPr>
                                <w:rFonts w:cs="Arial"/>
                                <w:b/>
                                <w:bCs/>
                                <w:color w:val="000000" w:themeColor="text1"/>
                                <w:kern w:val="24"/>
                                <w:sz w:val="36"/>
                                <w:szCs w:val="36"/>
                              </w:rPr>
                              <w:t>Long lasting health conditions and illness</w:t>
                            </w:r>
                          </w:p>
                          <w:p w14:paraId="7371BD28" w14:textId="77777777" w:rsidR="00CE3AF1" w:rsidRDefault="00CE3AF1" w:rsidP="00CE3AF1">
                            <w:pPr>
                              <w:jc w:val="center"/>
                              <w:rPr>
                                <w:rFonts w:cs="Arial"/>
                                <w:b/>
                                <w:bCs/>
                                <w:color w:val="000000" w:themeColor="text1"/>
                                <w:kern w:val="24"/>
                              </w:rPr>
                            </w:pPr>
                          </w:p>
                        </w:txbxContent>
                      </wps:txbx>
                      <wps:bodyPr rtlCol="0" anchor="t"/>
                    </wps:wsp>
                  </a:graphicData>
                </a:graphic>
              </wp:anchor>
            </w:drawing>
          </mc:Choice>
          <mc:Fallback>
            <w:pict>
              <v:roundrect w14:anchorId="7354D4A2" id="Rectangle: Rounded Corners 8" o:spid="_x0000_s1027" style="position:absolute;left:0;text-align:left;margin-left:123pt;margin-top:1.05pt;width:232.45pt;height:170.1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" filled="f" strokecolor="#ed8b00" strokeweight="3pt">
                <v:textbox>
                  <w:txbxContent>
                    <w:p w14:paraId="25922A69" w14:textId="77777777" w:rsidR="00CE3AF1" w:rsidRDefault="00CE3AF1" w:rsidP="00CE3AF1">
                      <w:pPr>
                        <w:jc w:val="center"/>
                        <w:rPr>
                          <w:rFonts w:cs="Arial"/>
                          <w:b/>
                          <w:bCs/>
                          <w:color w:val="000000" w:themeColor="text1"/>
                          <w:kern w:val="24"/>
                          <w:sz w:val="36"/>
                          <w:szCs w:val="36"/>
                        </w:rPr>
                      </w:pPr>
                      <w:r>
                        <w:rPr>
                          <w:rFonts w:cs="Arial"/>
                          <w:b/>
                          <w:bCs/>
                          <w:color w:val="000000" w:themeColor="text1"/>
                          <w:kern w:val="24"/>
                          <w:sz w:val="36"/>
                          <w:szCs w:val="36"/>
                        </w:rPr>
                        <w:t>Long lasting health conditions and illness</w:t>
                      </w:r>
                    </w:p>
                    <w:p w14:paraId="7371BD28" w14:textId="77777777" w:rsidR="00CE3AF1" w:rsidRDefault="00CE3AF1" w:rsidP="00CE3AF1">
                      <w:pPr>
                        <w:jc w:val="center"/>
                        <w:rPr>
                          <w:rFonts w:cs="Arial"/>
                          <w:b/>
                          <w:bCs/>
                          <w:color w:val="000000" w:themeColor="text1"/>
                          <w:kern w:val="24"/>
                        </w:rPr>
                      </w:pPr>
                    </w:p>
                  </w:txbxContent>
                </v:textbox>
              </v:roundrect>
            </w:pict>
          </mc:Fallback>
        </mc:AlternateContent>
      </w:r>
    </w:p>
    <w:p w14:paraId="58049141" w14:textId="77777777" w:rsidR="00CE3AF1" w:rsidRPr="00C92618" w:rsidRDefault="00CE3AF1" w:rsidP="00CE3AF1">
      <w:pPr>
        <w:spacing w:line="276" w:lineRule="auto"/>
        <w:jc w:val="both"/>
        <w:rPr>
          <w:rFonts w:ascii="Abadi" w:hAnsi="Abadi"/>
          <w:b/>
          <w:bCs/>
          <w:noProof/>
        </w:rPr>
      </w:pPr>
    </w:p>
    <w:p w14:paraId="4245607A" w14:textId="77777777" w:rsidR="00CE3AF1" w:rsidRPr="00C92618" w:rsidRDefault="00CE3AF1" w:rsidP="00CE3AF1">
      <w:pPr>
        <w:spacing w:line="276" w:lineRule="auto"/>
        <w:jc w:val="both"/>
        <w:rPr>
          <w:rFonts w:ascii="Abadi" w:hAnsi="Abadi"/>
          <w:b/>
          <w:bCs/>
          <w:noProof/>
        </w:rPr>
      </w:pPr>
    </w:p>
    <w:p w14:paraId="7A92F771" w14:textId="77777777" w:rsidR="00CE3AF1" w:rsidRPr="00C92618" w:rsidRDefault="00CE3AF1" w:rsidP="00CE3AF1">
      <w:pPr>
        <w:spacing w:line="276" w:lineRule="auto"/>
        <w:jc w:val="both"/>
        <w:rPr>
          <w:rFonts w:ascii="Abadi" w:hAnsi="Abadi"/>
          <w:b/>
          <w:bCs/>
          <w:noProof/>
        </w:rPr>
      </w:pPr>
      <w:r w:rsidRPr="00C92618">
        <w:rPr>
          <w:rFonts w:ascii="Abadi" w:hAnsi="Abadi"/>
          <w:noProof/>
        </w:rPr>
        <mc:AlternateContent>
          <mc:Choice Requires="wps">
            <w:drawing>
              <wp:anchor distT="0" distB="0" distL="114300" distR="114300" simplePos="0" relativeHeight="251666432" behindDoc="0" locked="0" layoutInCell="1" allowOverlap="1" wp14:anchorId="59DAAE7D" wp14:editId="3564CCAC">
                <wp:simplePos x="0" y="0"/>
                <wp:positionH relativeFrom="column">
                  <wp:posOffset>1717040</wp:posOffset>
                </wp:positionH>
                <wp:positionV relativeFrom="paragraph">
                  <wp:posOffset>90805</wp:posOffset>
                </wp:positionV>
                <wp:extent cx="2636192" cy="1476375"/>
                <wp:effectExtent l="0" t="0" r="0" b="0"/>
                <wp:wrapNone/>
                <wp:docPr id="22" name="TextBox 21">
                  <a:extLst xmlns:a="http://schemas.openxmlformats.org/drawingml/2006/main">
                    <a:ext uri="{FF2B5EF4-FFF2-40B4-BE49-F238E27FC236}">
                      <a16:creationId xmlns:a16="http://schemas.microsoft.com/office/drawing/2014/main" id="{AC435D05-A8FB-9EEF-64E0-4CC633DDA16A}"/>
                    </a:ext>
                  </a:extLst>
                </wp:docPr>
                <wp:cNvGraphicFramePr/>
                <a:graphic xmlns:a="http://schemas.openxmlformats.org/drawingml/2006/main">
                  <a:graphicData uri="http://schemas.microsoft.com/office/word/2010/wordprocessingShape">
                    <wps:wsp>
                      <wps:cNvSpPr txBox="1"/>
                      <wps:spPr>
                        <a:xfrm>
                          <a:off x="0" y="0"/>
                          <a:ext cx="2636192" cy="1476375"/>
                        </a:xfrm>
                        <a:prstGeom prst="rect">
                          <a:avLst/>
                        </a:prstGeom>
                        <a:noFill/>
                      </wps:spPr>
                      <wps:txbx>
                        <w:txbxContent>
                          <w:p w14:paraId="613818E0" w14:textId="77777777" w:rsidR="00CE3AF1" w:rsidRDefault="00CE3AF1" w:rsidP="00CE3AF1">
                            <w:pPr>
                              <w:rPr>
                                <w:rFonts w:cs="Arial"/>
                                <w:color w:val="000000" w:themeColor="text1"/>
                                <w:kern w:val="24"/>
                              </w:rPr>
                            </w:pPr>
                            <w:r>
                              <w:rPr>
                                <w:rFonts w:cs="Arial"/>
                                <w:color w:val="000000" w:themeColor="text1"/>
                                <w:kern w:val="24"/>
                              </w:rPr>
                              <w:t xml:space="preserve">Overall engagement </w:t>
                            </w:r>
                            <w:proofErr w:type="gramStart"/>
                            <w:r>
                              <w:rPr>
                                <w:rFonts w:cs="Arial"/>
                                <w:color w:val="000000" w:themeColor="text1"/>
                                <w:kern w:val="24"/>
                              </w:rPr>
                              <w:t>score</w:t>
                            </w:r>
                            <w:proofErr w:type="gramEnd"/>
                            <w:r>
                              <w:rPr>
                                <w:rFonts w:cs="Arial"/>
                                <w:color w:val="000000" w:themeColor="text1"/>
                                <w:kern w:val="24"/>
                              </w:rPr>
                              <w:t xml:space="preserve"> </w:t>
                            </w:r>
                            <w:r>
                              <w:rPr>
                                <w:rFonts w:cs="Arial"/>
                                <w:b/>
                                <w:bCs/>
                                <w:color w:val="005EB8"/>
                                <w:kern w:val="24"/>
                              </w:rPr>
                              <w:t>6.9</w:t>
                            </w:r>
                            <w:r>
                              <w:rPr>
                                <w:rFonts w:cs="Arial"/>
                                <w:color w:val="000000" w:themeColor="text1"/>
                                <w:kern w:val="24"/>
                              </w:rPr>
                              <w:t>,</w:t>
                            </w:r>
                            <w:r>
                              <w:rPr>
                                <w:rFonts w:cs="Arial"/>
                                <w:color w:val="000000" w:themeColor="text1"/>
                                <w:kern w:val="24"/>
                              </w:rPr>
                              <w:br/>
                              <w:t>-0.35 lower than colleagues who do</w:t>
                            </w:r>
                          </w:p>
                          <w:p w14:paraId="401F2B02" w14:textId="77777777" w:rsidR="00CE3AF1" w:rsidRDefault="00CE3AF1" w:rsidP="00CE3AF1">
                            <w:pPr>
                              <w:rPr>
                                <w:rFonts w:cs="Arial"/>
                                <w:color w:val="000000" w:themeColor="text1"/>
                                <w:kern w:val="24"/>
                              </w:rPr>
                            </w:pPr>
                            <w:r>
                              <w:rPr>
                                <w:rFonts w:cs="Arial"/>
                                <w:color w:val="000000" w:themeColor="text1"/>
                                <w:kern w:val="24"/>
                              </w:rPr>
                              <w:t>not consider themselves to have a long-lasting health condition.</w:t>
                            </w:r>
                          </w:p>
                          <w:p w14:paraId="06C1B935" w14:textId="77777777" w:rsidR="00CE3AF1" w:rsidRDefault="00CE3AF1" w:rsidP="00CE3AF1">
                            <w:pPr>
                              <w:jc w:val="center"/>
                              <w:rPr>
                                <w:rFonts w:cs="Arial"/>
                                <w:color w:val="000000" w:themeColor="text1"/>
                                <w:kern w:val="24"/>
                              </w:rPr>
                            </w:pPr>
                            <w:r>
                              <w:rPr>
                                <w:noProof/>
                              </w:rPr>
                              <w:drawing>
                                <wp:inline distT="0" distB="0" distL="0" distR="0" wp14:anchorId="5BA178C3" wp14:editId="5CA2ADF9">
                                  <wp:extent cx="716211" cy="716211"/>
                                  <wp:effectExtent l="0" t="0" r="8255" b="8255"/>
                                  <wp:docPr id="21" name="Picture 20" descr="Hands holding a heart with people in it&#10;&#10;Description automatically generated">
                                    <a:extLst xmlns:a="http://schemas.openxmlformats.org/drawingml/2006/main">
                                      <a:ext uri="{FF2B5EF4-FFF2-40B4-BE49-F238E27FC236}">
                                        <a16:creationId xmlns:a16="http://schemas.microsoft.com/office/drawing/2014/main" id="{742F563A-EB56-2666-CF10-D6CB1682E7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Hands holding a heart with people in it&#10;&#10;Description automatically generated">
                                            <a:extLst>
                                              <a:ext uri="{FF2B5EF4-FFF2-40B4-BE49-F238E27FC236}">
                                                <a16:creationId xmlns:a16="http://schemas.microsoft.com/office/drawing/2014/main" id="{742F563A-EB56-2666-CF10-D6CB1682E72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11" cy="716211"/>
                                          </a:xfrm>
                                          <a:prstGeom prst="rect">
                                            <a:avLst/>
                                          </a:prstGeom>
                                        </pic:spPr>
                                      </pic:pic>
                                    </a:graphicData>
                                  </a:graphic>
                                </wp:inline>
                              </w:drawing>
                            </w:r>
                          </w:p>
                        </w:txbxContent>
                      </wps:txbx>
                      <wps:bodyPr wrap="square" rtlCol="0">
                        <a:noAutofit/>
                      </wps:bodyPr>
                    </wps:wsp>
                  </a:graphicData>
                </a:graphic>
                <wp14:sizeRelV relativeFrom="margin">
                  <wp14:pctHeight>0</wp14:pctHeight>
                </wp14:sizeRelV>
              </wp:anchor>
            </w:drawing>
          </mc:Choice>
          <mc:Fallback>
            <w:pict>
              <v:shape w14:anchorId="59DAAE7D" id="TextBox 21" o:spid="_x0000_s1028" type="#_x0000_t202" style="position:absolute;left:0;text-align:left;margin-left:135.2pt;margin-top:7.15pt;width:207.55pt;height:11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" filled="f" stroked="f">
                <v:textbox>
                  <w:txbxContent>
                    <w:p w14:paraId="613818E0" w14:textId="77777777" w:rsidR="00CE3AF1" w:rsidRDefault="00CE3AF1" w:rsidP="00CE3AF1">
                      <w:pPr>
                        <w:rPr>
                          <w:rFonts w:cs="Arial"/>
                          <w:color w:val="000000" w:themeColor="text1"/>
                          <w:kern w:val="24"/>
                        </w:rPr>
                      </w:pPr>
                      <w:r>
                        <w:rPr>
                          <w:rFonts w:cs="Arial"/>
                          <w:color w:val="000000" w:themeColor="text1"/>
                          <w:kern w:val="24"/>
                        </w:rPr>
                        <w:t xml:space="preserve">Overall engagement </w:t>
                      </w:r>
                      <w:proofErr w:type="gramStart"/>
                      <w:r>
                        <w:rPr>
                          <w:rFonts w:cs="Arial"/>
                          <w:color w:val="000000" w:themeColor="text1"/>
                          <w:kern w:val="24"/>
                        </w:rPr>
                        <w:t>score</w:t>
                      </w:r>
                      <w:proofErr w:type="gramEnd"/>
                      <w:r>
                        <w:rPr>
                          <w:rFonts w:cs="Arial"/>
                          <w:color w:val="000000" w:themeColor="text1"/>
                          <w:kern w:val="24"/>
                        </w:rPr>
                        <w:t xml:space="preserve"> </w:t>
                      </w:r>
                      <w:r>
                        <w:rPr>
                          <w:rFonts w:cs="Arial"/>
                          <w:b/>
                          <w:bCs/>
                          <w:color w:val="005EB8"/>
                          <w:kern w:val="24"/>
                        </w:rPr>
                        <w:t>6.9</w:t>
                      </w:r>
                      <w:r>
                        <w:rPr>
                          <w:rFonts w:cs="Arial"/>
                          <w:color w:val="000000" w:themeColor="text1"/>
                          <w:kern w:val="24"/>
                        </w:rPr>
                        <w:t>,</w:t>
                      </w:r>
                      <w:r>
                        <w:rPr>
                          <w:rFonts w:cs="Arial"/>
                          <w:color w:val="000000" w:themeColor="text1"/>
                          <w:kern w:val="24"/>
                        </w:rPr>
                        <w:br/>
                        <w:t>-0.35 lower than colleagues who do</w:t>
                      </w:r>
                    </w:p>
                    <w:p w14:paraId="401F2B02" w14:textId="77777777" w:rsidR="00CE3AF1" w:rsidRDefault="00CE3AF1" w:rsidP="00CE3AF1">
                      <w:pPr>
                        <w:rPr>
                          <w:rFonts w:cs="Arial"/>
                          <w:color w:val="000000" w:themeColor="text1"/>
                          <w:kern w:val="24"/>
                        </w:rPr>
                      </w:pPr>
                      <w:r>
                        <w:rPr>
                          <w:rFonts w:cs="Arial"/>
                          <w:color w:val="000000" w:themeColor="text1"/>
                          <w:kern w:val="24"/>
                        </w:rPr>
                        <w:t>not consider themselves to have a long-lasting health condition.</w:t>
                      </w:r>
                    </w:p>
                    <w:p w14:paraId="06C1B935" w14:textId="77777777" w:rsidR="00CE3AF1" w:rsidRDefault="00CE3AF1" w:rsidP="00CE3AF1">
                      <w:pPr>
                        <w:jc w:val="center"/>
                        <w:rPr>
                          <w:rFonts w:cs="Arial"/>
                          <w:color w:val="000000" w:themeColor="text1"/>
                          <w:kern w:val="24"/>
                        </w:rPr>
                      </w:pPr>
                      <w:r>
                        <w:rPr>
                          <w:noProof/>
                        </w:rPr>
                        <w:drawing>
                          <wp:inline distT="0" distB="0" distL="0" distR="0" wp14:anchorId="5BA178C3" wp14:editId="5CA2ADF9">
                            <wp:extent cx="716211" cy="716211"/>
                            <wp:effectExtent l="0" t="0" r="8255" b="8255"/>
                            <wp:docPr id="21" name="Picture 20" descr="Hands holding a heart with people in it&#10;&#10;Description automatically generated">
                              <a:extLst xmlns:a="http://schemas.openxmlformats.org/drawingml/2006/main">
                                <a:ext uri="{FF2B5EF4-FFF2-40B4-BE49-F238E27FC236}">
                                  <a16:creationId xmlns:a16="http://schemas.microsoft.com/office/drawing/2014/main" id="{742F563A-EB56-2666-CF10-D6CB1682E7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Hands holding a heart with people in it&#10;&#10;Description automatically generated">
                                      <a:extLst>
                                        <a:ext uri="{FF2B5EF4-FFF2-40B4-BE49-F238E27FC236}">
                                          <a16:creationId xmlns:a16="http://schemas.microsoft.com/office/drawing/2014/main" id="{742F563A-EB56-2666-CF10-D6CB1682E72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11" cy="716211"/>
                                    </a:xfrm>
                                    <a:prstGeom prst="rect">
                                      <a:avLst/>
                                    </a:prstGeom>
                                  </pic:spPr>
                                </pic:pic>
                              </a:graphicData>
                            </a:graphic>
                          </wp:inline>
                        </w:drawing>
                      </w:r>
                    </w:p>
                  </w:txbxContent>
                </v:textbox>
              </v:shape>
            </w:pict>
          </mc:Fallback>
        </mc:AlternateContent>
      </w:r>
    </w:p>
    <w:p w14:paraId="732BA30F" w14:textId="77777777" w:rsidR="00CE3AF1" w:rsidRPr="00C92618" w:rsidRDefault="00CE3AF1" w:rsidP="00CE3AF1">
      <w:pPr>
        <w:spacing w:line="276" w:lineRule="auto"/>
        <w:jc w:val="both"/>
        <w:rPr>
          <w:rFonts w:ascii="Abadi" w:hAnsi="Abadi"/>
          <w:b/>
          <w:bCs/>
          <w:noProof/>
        </w:rPr>
      </w:pPr>
    </w:p>
    <w:p w14:paraId="6C1B5DC6" w14:textId="77777777" w:rsidR="00CE3AF1" w:rsidRPr="00C92618" w:rsidRDefault="00CE3AF1" w:rsidP="00CE3AF1">
      <w:pPr>
        <w:spacing w:line="276" w:lineRule="auto"/>
        <w:jc w:val="both"/>
        <w:rPr>
          <w:rFonts w:ascii="Abadi" w:hAnsi="Abadi"/>
          <w:b/>
          <w:bCs/>
          <w:noProof/>
        </w:rPr>
      </w:pPr>
    </w:p>
    <w:p w14:paraId="70E96159" w14:textId="77777777" w:rsidR="00CE3AF1" w:rsidRPr="00C92618" w:rsidRDefault="00CE3AF1" w:rsidP="00CE3AF1">
      <w:pPr>
        <w:spacing w:line="276" w:lineRule="auto"/>
        <w:jc w:val="both"/>
        <w:rPr>
          <w:rFonts w:ascii="Abadi" w:hAnsi="Abadi"/>
          <w:b/>
          <w:bCs/>
          <w:noProof/>
        </w:rPr>
      </w:pPr>
    </w:p>
    <w:p w14:paraId="44488D3E" w14:textId="77777777" w:rsidR="00CE3AF1" w:rsidRPr="00C92618" w:rsidRDefault="00CE3AF1" w:rsidP="00CE3AF1">
      <w:pPr>
        <w:spacing w:line="276" w:lineRule="auto"/>
        <w:jc w:val="both"/>
        <w:rPr>
          <w:rFonts w:ascii="Abadi" w:hAnsi="Abadi"/>
          <w:b/>
          <w:bCs/>
          <w:noProof/>
        </w:rPr>
      </w:pPr>
    </w:p>
    <w:p w14:paraId="2E5F4B62" w14:textId="77777777" w:rsidR="00CE3AF1" w:rsidRPr="00C92618" w:rsidRDefault="00CE3AF1" w:rsidP="00CE3AF1">
      <w:pPr>
        <w:spacing w:line="276" w:lineRule="auto"/>
        <w:jc w:val="both"/>
        <w:rPr>
          <w:rFonts w:ascii="Abadi" w:hAnsi="Abadi"/>
          <w:b/>
          <w:bCs/>
          <w:noProof/>
        </w:rPr>
      </w:pPr>
    </w:p>
    <w:p w14:paraId="18DBA97F" w14:textId="77777777" w:rsidR="00CE3AF1" w:rsidRPr="00C92618" w:rsidRDefault="00CE3AF1" w:rsidP="00CE3AF1">
      <w:pPr>
        <w:spacing w:line="276" w:lineRule="auto"/>
        <w:jc w:val="both"/>
        <w:rPr>
          <w:rFonts w:ascii="Abadi" w:hAnsi="Abadi"/>
          <w:b/>
          <w:bCs/>
          <w:noProof/>
        </w:rPr>
      </w:pPr>
    </w:p>
    <w:p w14:paraId="3E023E22" w14:textId="77777777" w:rsidR="00CE3AF1" w:rsidRPr="00C92618" w:rsidRDefault="00CE3AF1" w:rsidP="00CE3AF1">
      <w:pPr>
        <w:spacing w:line="276" w:lineRule="auto"/>
        <w:jc w:val="both"/>
        <w:rPr>
          <w:rFonts w:ascii="Abadi" w:hAnsi="Abadi"/>
          <w:noProof/>
        </w:rPr>
      </w:pPr>
    </w:p>
    <w:p w14:paraId="771685C0" w14:textId="77777777" w:rsidR="00CE3AF1" w:rsidRPr="00C92618" w:rsidRDefault="00CE3AF1" w:rsidP="00CE3AF1">
      <w:pPr>
        <w:spacing w:line="276" w:lineRule="auto"/>
        <w:jc w:val="both"/>
        <w:rPr>
          <w:rFonts w:ascii="Abadi" w:hAnsi="Abadi"/>
          <w:noProof/>
        </w:rPr>
      </w:pPr>
    </w:p>
    <w:p w14:paraId="36160A11" w14:textId="77777777" w:rsidR="00CE3AF1" w:rsidRDefault="00CE3AF1" w:rsidP="00CE3AF1">
      <w:pPr>
        <w:spacing w:line="276" w:lineRule="auto"/>
        <w:jc w:val="both"/>
        <w:rPr>
          <w:rFonts w:ascii="Abadi" w:hAnsi="Abadi"/>
          <w:noProof/>
        </w:rPr>
      </w:pPr>
    </w:p>
    <w:p w14:paraId="3FE35C35" w14:textId="77777777" w:rsidR="00CE3AF1" w:rsidRPr="00FC4165" w:rsidRDefault="00CE3AF1" w:rsidP="00CE3AF1">
      <w:pPr>
        <w:spacing w:line="276" w:lineRule="auto"/>
        <w:rPr>
          <w:b/>
          <w:bCs/>
          <w:color w:val="0070C0"/>
        </w:rPr>
      </w:pPr>
      <w:r w:rsidRPr="00FC4165">
        <w:rPr>
          <w:b/>
          <w:bCs/>
          <w:color w:val="0070C0"/>
        </w:rPr>
        <w:t>WDES Progress Actions in 2022/23</w:t>
      </w:r>
    </w:p>
    <w:p w14:paraId="44BF8945" w14:textId="77777777" w:rsidR="00CE3AF1" w:rsidRDefault="00CE3AF1" w:rsidP="00F534DD">
      <w:pPr>
        <w:spacing w:line="276" w:lineRule="auto"/>
        <w:rPr>
          <w:b/>
          <w:bCs/>
        </w:rPr>
      </w:pPr>
    </w:p>
    <w:p w14:paraId="728DB2D0" w14:textId="503CBA2F" w:rsidR="00357A8A" w:rsidRDefault="004218DB" w:rsidP="00F534DD">
      <w:pPr>
        <w:spacing w:line="276" w:lineRule="auto"/>
      </w:pPr>
      <w:r w:rsidRPr="004218DB">
        <w:t>During 202</w:t>
      </w:r>
      <w:r w:rsidR="00CE3AF1">
        <w:t>3</w:t>
      </w:r>
      <w:r w:rsidRPr="004218DB">
        <w:t>/2</w:t>
      </w:r>
      <w:r w:rsidR="00CE3AF1">
        <w:t>4</w:t>
      </w:r>
      <w:r w:rsidRPr="004218DB">
        <w:t xml:space="preserve"> </w:t>
      </w:r>
      <w:r>
        <w:t xml:space="preserve">the Trust has undertaken a number of actions to reduce inequality and develop an inclusive culture for our current and future workforce who </w:t>
      </w:r>
      <w:r w:rsidR="00655D8D">
        <w:t>have a disability</w:t>
      </w:r>
      <w:r w:rsidR="009B33FC">
        <w:t>.</w:t>
      </w:r>
    </w:p>
    <w:p w14:paraId="05D87A7C" w14:textId="77777777" w:rsidR="0097535B" w:rsidRDefault="0097535B" w:rsidP="00F534DD">
      <w:pPr>
        <w:spacing w:line="276" w:lineRule="auto"/>
      </w:pPr>
    </w:p>
    <w:p w14:paraId="56B6D4BD" w14:textId="0BF1F6A8" w:rsidR="00541E31" w:rsidRPr="008371B4" w:rsidRDefault="00571D6D" w:rsidP="00E6351A">
      <w:pPr>
        <w:spacing w:line="276" w:lineRule="auto"/>
      </w:pPr>
      <w:r>
        <w:t xml:space="preserve">The following table provides </w:t>
      </w:r>
      <w:r w:rsidR="00091745">
        <w:t xml:space="preserve">details of progress and updates </w:t>
      </w:r>
      <w:r w:rsidR="001C0B0D">
        <w:t>again</w:t>
      </w:r>
      <w:r w:rsidR="00E41CFE">
        <w:t>st the actions within our 2022 W</w:t>
      </w:r>
      <w:r w:rsidR="00BC0EB4">
        <w:t>D</w:t>
      </w:r>
      <w:r w:rsidR="00E41CFE">
        <w:t>ES action plan.</w:t>
      </w:r>
    </w:p>
    <w:p w14:paraId="7D12FCE7" w14:textId="77777777" w:rsidR="00E6351A" w:rsidRPr="00D24E86" w:rsidRDefault="00E6351A" w:rsidP="00F534DD">
      <w:pPr>
        <w:spacing w:line="276" w:lineRule="auto"/>
        <w:rPr>
          <w:b/>
          <w:bCs/>
          <w:szCs w:val="22"/>
        </w:rPr>
      </w:pPr>
    </w:p>
    <w:tbl>
      <w:tblPr>
        <w:tblStyle w:val="TableGrid"/>
        <w:tblW w:w="9918" w:type="dxa"/>
        <w:tblLayout w:type="fixed"/>
        <w:tblLook w:val="04A0" w:firstRow="1" w:lastRow="0" w:firstColumn="1" w:lastColumn="0" w:noHBand="0" w:noVBand="1"/>
      </w:tblPr>
      <w:tblGrid>
        <w:gridCol w:w="3539"/>
        <w:gridCol w:w="4961"/>
        <w:gridCol w:w="1418"/>
      </w:tblGrid>
      <w:tr w:rsidR="00AC5502" w:rsidRPr="00DE0373" w14:paraId="5F9BEE07" w14:textId="77777777" w:rsidTr="00C928B0">
        <w:tc>
          <w:tcPr>
            <w:tcW w:w="99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57DBE6" w14:textId="77777777" w:rsidR="00AC5502" w:rsidRPr="00DE0373" w:rsidRDefault="00AC5502" w:rsidP="004B0C70">
            <w:pPr>
              <w:spacing w:after="200" w:line="276" w:lineRule="auto"/>
              <w:rPr>
                <w:rFonts w:eastAsia="Calibri" w:cs="Arial"/>
                <w:b/>
                <w:bCs/>
              </w:rPr>
            </w:pPr>
            <w:r w:rsidRPr="00DE0373">
              <w:rPr>
                <w:rFonts w:eastAsiaTheme="minorHAnsi" w:cs="Arial"/>
                <w:b/>
              </w:rPr>
              <w:t xml:space="preserve">Theme 1; Representation, Recruitment and Retention- </w:t>
            </w:r>
            <w:r w:rsidRPr="00DE0373">
              <w:rPr>
                <w:rFonts w:eastAsiaTheme="minorHAnsi" w:cs="Arial"/>
                <w:bCs/>
              </w:rPr>
              <w:t>WDES Indicators 1 and 10</w:t>
            </w:r>
          </w:p>
        </w:tc>
      </w:tr>
      <w:tr w:rsidR="00AC5502" w:rsidRPr="00DE0373" w14:paraId="535B212F" w14:textId="77777777" w:rsidTr="004B0C70">
        <w:tc>
          <w:tcPr>
            <w:tcW w:w="3539" w:type="dxa"/>
            <w:tcBorders>
              <w:top w:val="single" w:sz="4" w:space="0" w:color="auto"/>
              <w:left w:val="single" w:sz="4" w:space="0" w:color="auto"/>
              <w:bottom w:val="single" w:sz="4" w:space="0" w:color="auto"/>
              <w:right w:val="single" w:sz="4" w:space="0" w:color="auto"/>
            </w:tcBorders>
          </w:tcPr>
          <w:p w14:paraId="7C077CD3" w14:textId="77777777" w:rsidR="00AC5502" w:rsidRPr="00DE0373" w:rsidRDefault="00AC5502" w:rsidP="004B0C70">
            <w:pPr>
              <w:rPr>
                <w:rFonts w:eastAsia="Calibri" w:cs="Arial"/>
                <w:b/>
                <w:bCs/>
              </w:rPr>
            </w:pPr>
            <w:r w:rsidRPr="00DE0373">
              <w:rPr>
                <w:rFonts w:eastAsia="Calibri" w:cs="Arial"/>
                <w:b/>
                <w:bCs/>
              </w:rPr>
              <w:t>Action</w:t>
            </w:r>
          </w:p>
        </w:tc>
        <w:tc>
          <w:tcPr>
            <w:tcW w:w="4961" w:type="dxa"/>
            <w:tcBorders>
              <w:top w:val="single" w:sz="4" w:space="0" w:color="auto"/>
              <w:left w:val="single" w:sz="4" w:space="0" w:color="auto"/>
              <w:bottom w:val="single" w:sz="4" w:space="0" w:color="auto"/>
              <w:right w:val="single" w:sz="4" w:space="0" w:color="auto"/>
            </w:tcBorders>
          </w:tcPr>
          <w:p w14:paraId="464C9546" w14:textId="00712BB2" w:rsidR="00AC5502" w:rsidRPr="00DE0373" w:rsidRDefault="00AC5502" w:rsidP="004B0C70">
            <w:pPr>
              <w:rPr>
                <w:rFonts w:eastAsia="Calibri" w:cs="Arial"/>
                <w:b/>
                <w:bCs/>
              </w:rPr>
            </w:pPr>
            <w:r w:rsidRPr="00DE0373">
              <w:rPr>
                <w:rFonts w:eastAsia="Calibri" w:cs="Arial"/>
                <w:b/>
                <w:bCs/>
              </w:rPr>
              <w:t xml:space="preserve">Status Update- </w:t>
            </w:r>
            <w:r w:rsidR="000B05A4">
              <w:rPr>
                <w:rFonts w:eastAsia="Calibri" w:cs="Arial"/>
                <w:b/>
                <w:bCs/>
              </w:rPr>
              <w:t>August 2024</w:t>
            </w:r>
          </w:p>
        </w:tc>
        <w:tc>
          <w:tcPr>
            <w:tcW w:w="1418" w:type="dxa"/>
            <w:tcBorders>
              <w:top w:val="single" w:sz="4" w:space="0" w:color="auto"/>
              <w:left w:val="single" w:sz="4" w:space="0" w:color="auto"/>
              <w:bottom w:val="single" w:sz="4" w:space="0" w:color="auto"/>
              <w:right w:val="single" w:sz="4" w:space="0" w:color="auto"/>
            </w:tcBorders>
          </w:tcPr>
          <w:p w14:paraId="03078A8E" w14:textId="77777777" w:rsidR="00AC5502" w:rsidRPr="00DE0373" w:rsidRDefault="00AC5502" w:rsidP="004B0C70">
            <w:pPr>
              <w:rPr>
                <w:rFonts w:eastAsia="Calibri" w:cs="Arial"/>
                <w:b/>
                <w:bCs/>
              </w:rPr>
            </w:pPr>
            <w:r w:rsidRPr="00DE0373">
              <w:rPr>
                <w:rFonts w:eastAsia="Calibri" w:cs="Arial"/>
                <w:b/>
                <w:bCs/>
              </w:rPr>
              <w:t>Status</w:t>
            </w:r>
          </w:p>
        </w:tc>
      </w:tr>
      <w:tr w:rsidR="00AC5502" w:rsidRPr="00DE0373" w14:paraId="2B67BA7E" w14:textId="77777777" w:rsidTr="004B0C70">
        <w:trPr>
          <w:trHeight w:val="1074"/>
        </w:trPr>
        <w:tc>
          <w:tcPr>
            <w:tcW w:w="3539" w:type="dxa"/>
            <w:tcBorders>
              <w:top w:val="single" w:sz="4" w:space="0" w:color="auto"/>
              <w:left w:val="single" w:sz="4" w:space="0" w:color="auto"/>
              <w:right w:val="single" w:sz="4" w:space="0" w:color="auto"/>
            </w:tcBorders>
            <w:hideMark/>
          </w:tcPr>
          <w:p w14:paraId="6A14D95F" w14:textId="79D46F66" w:rsidR="00AC5502" w:rsidRPr="00DE0373" w:rsidRDefault="00AC5502" w:rsidP="004B0C70">
            <w:pPr>
              <w:rPr>
                <w:rFonts w:eastAsia="Calibri" w:cs="Arial"/>
              </w:rPr>
            </w:pPr>
            <w:r w:rsidRPr="00DE0373">
              <w:rPr>
                <w:rFonts w:eastAsia="Calibri" w:cs="Arial"/>
              </w:rPr>
              <w:t>Organise a communications campaign to encourage staff to share or update their disability, diversity information on ESR</w:t>
            </w:r>
          </w:p>
        </w:tc>
        <w:tc>
          <w:tcPr>
            <w:tcW w:w="4961" w:type="dxa"/>
            <w:tcBorders>
              <w:top w:val="single" w:sz="4" w:space="0" w:color="auto"/>
              <w:left w:val="single" w:sz="4" w:space="0" w:color="auto"/>
              <w:right w:val="single" w:sz="4" w:space="0" w:color="auto"/>
            </w:tcBorders>
          </w:tcPr>
          <w:p w14:paraId="5F8A2FD7" w14:textId="77777777" w:rsidR="00AC5502" w:rsidRDefault="00AC5502" w:rsidP="004B0C70">
            <w:pPr>
              <w:rPr>
                <w:rFonts w:eastAsia="Calibri" w:cs="Arial"/>
              </w:rPr>
            </w:pPr>
            <w:r w:rsidRPr="00DE0373">
              <w:rPr>
                <w:rFonts w:eastAsia="Calibri" w:cs="Arial"/>
              </w:rPr>
              <w:t>Campaign and guidance developed and promoted to staff with our Disability and Wellbeing staff network (DaWN). The percentage of staff declaring a disability as of March 2023 has increased by 1.3% to 7.5% when compared to March 2022 data</w:t>
            </w:r>
            <w:r w:rsidR="00DE0373">
              <w:rPr>
                <w:rFonts w:eastAsia="Calibri" w:cs="Arial"/>
              </w:rPr>
              <w:t>.</w:t>
            </w:r>
          </w:p>
          <w:p w14:paraId="3CE4056D" w14:textId="77D6F034" w:rsidR="00DE0373" w:rsidRPr="00DE0373" w:rsidRDefault="00DE0373" w:rsidP="004B0C70">
            <w:pPr>
              <w:rPr>
                <w:rFonts w:eastAsia="Calibri" w:cs="Arial"/>
              </w:rPr>
            </w:pPr>
          </w:p>
        </w:tc>
        <w:tc>
          <w:tcPr>
            <w:tcW w:w="1418" w:type="dxa"/>
            <w:tcBorders>
              <w:top w:val="single" w:sz="4" w:space="0" w:color="auto"/>
              <w:left w:val="single" w:sz="4" w:space="0" w:color="auto"/>
              <w:right w:val="single" w:sz="4" w:space="0" w:color="auto"/>
            </w:tcBorders>
            <w:hideMark/>
          </w:tcPr>
          <w:p w14:paraId="12B1005D" w14:textId="77777777" w:rsidR="00AC5502" w:rsidRPr="00DE0373" w:rsidRDefault="00AC5502" w:rsidP="004B0C70">
            <w:pPr>
              <w:rPr>
                <w:rFonts w:eastAsia="Calibri" w:cs="Arial"/>
              </w:rPr>
            </w:pPr>
            <w:r w:rsidRPr="00DE0373">
              <w:rPr>
                <w:rFonts w:eastAsia="Calibri" w:cs="Arial"/>
              </w:rPr>
              <w:t>Completed</w:t>
            </w:r>
          </w:p>
        </w:tc>
      </w:tr>
      <w:tr w:rsidR="00AC5502" w:rsidRPr="00DE0373" w14:paraId="4E925307" w14:textId="77777777" w:rsidTr="004B0C70">
        <w:trPr>
          <w:trHeight w:val="805"/>
        </w:trPr>
        <w:tc>
          <w:tcPr>
            <w:tcW w:w="3539" w:type="dxa"/>
            <w:tcBorders>
              <w:top w:val="single" w:sz="4" w:space="0" w:color="auto"/>
              <w:left w:val="single" w:sz="4" w:space="0" w:color="auto"/>
              <w:bottom w:val="single" w:sz="4" w:space="0" w:color="auto"/>
              <w:right w:val="single" w:sz="4" w:space="0" w:color="auto"/>
            </w:tcBorders>
          </w:tcPr>
          <w:p w14:paraId="7E5639B8" w14:textId="77777777" w:rsidR="00AC5502" w:rsidRDefault="00AC5502" w:rsidP="004B0C70">
            <w:pPr>
              <w:rPr>
                <w:rFonts w:eastAsia="Calibri" w:cs="Arial"/>
              </w:rPr>
            </w:pPr>
            <w:r w:rsidRPr="00DE0373">
              <w:rPr>
                <w:rFonts w:eastAsia="Calibri" w:cs="Arial"/>
              </w:rPr>
              <w:t>Evaluate the impact of recruitment cultural inclusion ambassadors, respond to the results, and develop a forward delivery plan for future roll-out.</w:t>
            </w:r>
          </w:p>
          <w:p w14:paraId="456A2AEC" w14:textId="77777777" w:rsidR="00DE0373" w:rsidRPr="00DE0373" w:rsidRDefault="00DE0373" w:rsidP="004B0C70">
            <w:pPr>
              <w:rPr>
                <w:rFonts w:eastAsia="Calibri" w:cs="Arial"/>
              </w:rPr>
            </w:pPr>
          </w:p>
        </w:tc>
        <w:tc>
          <w:tcPr>
            <w:tcW w:w="4961" w:type="dxa"/>
            <w:tcBorders>
              <w:top w:val="single" w:sz="4" w:space="0" w:color="auto"/>
              <w:left w:val="single" w:sz="4" w:space="0" w:color="auto"/>
              <w:right w:val="single" w:sz="4" w:space="0" w:color="auto"/>
            </w:tcBorders>
            <w:hideMark/>
          </w:tcPr>
          <w:p w14:paraId="14FD6D96" w14:textId="77777777" w:rsidR="00AC5502" w:rsidRPr="00DE0373" w:rsidRDefault="00AC5502" w:rsidP="004B0C70">
            <w:pPr>
              <w:rPr>
                <w:rFonts w:eastAsia="Calibri" w:cs="Arial"/>
              </w:rPr>
            </w:pPr>
            <w:r w:rsidRPr="00DE0373">
              <w:rPr>
                <w:rFonts w:eastAsia="Calibri" w:cs="Arial"/>
              </w:rPr>
              <w:t>Evaluation completed. A forward plan has been developed to establish representative recruitment panels and increase the number of cultural inclusion ambassadors available to participate in senior recruitment panels.</w:t>
            </w:r>
          </w:p>
          <w:p w14:paraId="5961E2C4" w14:textId="77777777" w:rsidR="00AC5502" w:rsidRPr="00DE0373" w:rsidRDefault="00AC5502" w:rsidP="004B0C70">
            <w:pPr>
              <w:rPr>
                <w:rFonts w:eastAsia="Calibri" w:cs="Arial"/>
              </w:rPr>
            </w:pPr>
          </w:p>
        </w:tc>
        <w:tc>
          <w:tcPr>
            <w:tcW w:w="1418" w:type="dxa"/>
            <w:tcBorders>
              <w:top w:val="single" w:sz="4" w:space="0" w:color="auto"/>
              <w:left w:val="single" w:sz="4" w:space="0" w:color="auto"/>
              <w:right w:val="single" w:sz="4" w:space="0" w:color="auto"/>
            </w:tcBorders>
            <w:hideMark/>
          </w:tcPr>
          <w:p w14:paraId="1B4559CA" w14:textId="77777777" w:rsidR="00AC5502" w:rsidRPr="00DE0373" w:rsidRDefault="00AC5502" w:rsidP="004B0C70">
            <w:pPr>
              <w:rPr>
                <w:rFonts w:eastAsia="Calibri" w:cs="Arial"/>
              </w:rPr>
            </w:pPr>
            <w:r w:rsidRPr="00DE0373">
              <w:rPr>
                <w:rFonts w:eastAsia="Calibri" w:cs="Arial"/>
              </w:rPr>
              <w:t>Completed</w:t>
            </w:r>
          </w:p>
        </w:tc>
      </w:tr>
      <w:tr w:rsidR="00AC5502" w:rsidRPr="00DE0373" w14:paraId="35F36FC5" w14:textId="77777777" w:rsidTr="004B0C70">
        <w:trPr>
          <w:trHeight w:val="805"/>
        </w:trPr>
        <w:tc>
          <w:tcPr>
            <w:tcW w:w="3539" w:type="dxa"/>
            <w:tcBorders>
              <w:top w:val="single" w:sz="4" w:space="0" w:color="auto"/>
              <w:left w:val="single" w:sz="4" w:space="0" w:color="auto"/>
              <w:bottom w:val="single" w:sz="4" w:space="0" w:color="auto"/>
              <w:right w:val="single" w:sz="4" w:space="0" w:color="auto"/>
            </w:tcBorders>
          </w:tcPr>
          <w:p w14:paraId="5D54DDE7" w14:textId="73567FB9" w:rsidR="00AC5502" w:rsidRDefault="00AC5502" w:rsidP="004B0C70">
            <w:pPr>
              <w:rPr>
                <w:rFonts w:eastAsia="Calibri" w:cs="Arial"/>
              </w:rPr>
            </w:pPr>
            <w:r w:rsidRPr="00DE0373">
              <w:rPr>
                <w:rFonts w:eastAsia="Calibri" w:cs="Arial"/>
              </w:rPr>
              <w:lastRenderedPageBreak/>
              <w:t>Review recruitment policy and process. Revise recruitment panel training content and process in line with this review. Ensuring sufficient focus on unconscious bias and the responsibility of panel chairs and EDI competency.</w:t>
            </w:r>
          </w:p>
          <w:p w14:paraId="5E8819AB" w14:textId="77777777" w:rsidR="00DE0373" w:rsidRPr="00DE0373" w:rsidRDefault="00DE0373" w:rsidP="004B0C70">
            <w:pPr>
              <w:rPr>
                <w:rFonts w:eastAsia="Calibri" w:cs="Arial"/>
              </w:rPr>
            </w:pPr>
          </w:p>
        </w:tc>
        <w:tc>
          <w:tcPr>
            <w:tcW w:w="4961" w:type="dxa"/>
            <w:tcBorders>
              <w:left w:val="single" w:sz="4" w:space="0" w:color="auto"/>
              <w:right w:val="single" w:sz="4" w:space="0" w:color="auto"/>
            </w:tcBorders>
          </w:tcPr>
          <w:p w14:paraId="264DA511" w14:textId="1E722338" w:rsidR="00AC5502" w:rsidRPr="00DE0373" w:rsidRDefault="00AC5502" w:rsidP="004B0C70">
            <w:pPr>
              <w:rPr>
                <w:rFonts w:eastAsia="Calibri" w:cs="Arial"/>
              </w:rPr>
            </w:pPr>
            <w:r w:rsidRPr="00DE0373">
              <w:rPr>
                <w:rFonts w:eastAsia="Calibri" w:cs="Arial"/>
              </w:rPr>
              <w:t>Recruitment completed and recruitment policy and process reviewed. Recruitment panel training has been revised in conjunction with the EDI Team</w:t>
            </w:r>
            <w:r w:rsidR="00A52C48" w:rsidRPr="00DE0373">
              <w:rPr>
                <w:rFonts w:eastAsia="Calibri" w:cs="Arial"/>
              </w:rPr>
              <w:t xml:space="preserve"> and</w:t>
            </w:r>
            <w:r w:rsidRPr="00DE0373">
              <w:rPr>
                <w:rFonts w:eastAsia="Calibri" w:cs="Arial"/>
              </w:rPr>
              <w:t xml:space="preserve"> key stakeholders including service user representatives. </w:t>
            </w:r>
          </w:p>
        </w:tc>
        <w:tc>
          <w:tcPr>
            <w:tcW w:w="1418" w:type="dxa"/>
            <w:tcBorders>
              <w:left w:val="single" w:sz="4" w:space="0" w:color="auto"/>
              <w:right w:val="single" w:sz="4" w:space="0" w:color="auto"/>
            </w:tcBorders>
          </w:tcPr>
          <w:p w14:paraId="0BC23EE4" w14:textId="77777777" w:rsidR="00AC5502" w:rsidRPr="00DE0373" w:rsidRDefault="00AC5502" w:rsidP="004B0C70">
            <w:pPr>
              <w:rPr>
                <w:rFonts w:eastAsia="Calibri" w:cs="Arial"/>
              </w:rPr>
            </w:pPr>
            <w:r w:rsidRPr="00DE0373">
              <w:rPr>
                <w:rFonts w:eastAsia="Calibri" w:cs="Arial"/>
              </w:rPr>
              <w:t>Completed</w:t>
            </w:r>
          </w:p>
        </w:tc>
      </w:tr>
      <w:tr w:rsidR="00AC5502" w:rsidRPr="00DE0373" w14:paraId="10454BD6" w14:textId="77777777" w:rsidTr="004B0C70">
        <w:trPr>
          <w:trHeight w:val="670"/>
        </w:trPr>
        <w:tc>
          <w:tcPr>
            <w:tcW w:w="3539" w:type="dxa"/>
            <w:tcBorders>
              <w:top w:val="single" w:sz="4" w:space="0" w:color="auto"/>
              <w:left w:val="single" w:sz="4" w:space="0" w:color="auto"/>
              <w:bottom w:val="single" w:sz="4" w:space="0" w:color="auto"/>
              <w:right w:val="single" w:sz="4" w:space="0" w:color="auto"/>
            </w:tcBorders>
          </w:tcPr>
          <w:p w14:paraId="5713A238" w14:textId="77777777" w:rsidR="00AC5502" w:rsidRPr="00DE0373" w:rsidRDefault="00AC5502" w:rsidP="004B0C70">
            <w:pPr>
              <w:rPr>
                <w:rFonts w:eastAsia="Calibri" w:cs="Arial"/>
              </w:rPr>
            </w:pPr>
            <w:r w:rsidRPr="00DE0373">
              <w:rPr>
                <w:rFonts w:eastAsia="Calibri" w:cs="Arial"/>
              </w:rPr>
              <w:t>Develop and deliver a widening participation recruitment plan with our local communities to increase visibility and opportunities and to promote the Trust as an employer of choice.</w:t>
            </w:r>
          </w:p>
        </w:tc>
        <w:tc>
          <w:tcPr>
            <w:tcW w:w="4961" w:type="dxa"/>
            <w:tcBorders>
              <w:left w:val="single" w:sz="4" w:space="0" w:color="auto"/>
              <w:right w:val="single" w:sz="4" w:space="0" w:color="auto"/>
            </w:tcBorders>
          </w:tcPr>
          <w:p w14:paraId="27432D64" w14:textId="77777777" w:rsidR="00AC5502" w:rsidRPr="00DE0373" w:rsidRDefault="00AC5502" w:rsidP="004B0C70">
            <w:pPr>
              <w:rPr>
                <w:rFonts w:eastAsia="Calibri" w:cs="Arial"/>
              </w:rPr>
            </w:pPr>
            <w:r w:rsidRPr="00DE0373">
              <w:rPr>
                <w:rFonts w:eastAsia="Calibri" w:cs="Arial"/>
              </w:rPr>
              <w:t>Widening participation plans in place to improve engagement with our local communities.</w:t>
            </w:r>
          </w:p>
        </w:tc>
        <w:tc>
          <w:tcPr>
            <w:tcW w:w="1418" w:type="dxa"/>
            <w:tcBorders>
              <w:left w:val="single" w:sz="4" w:space="0" w:color="auto"/>
              <w:right w:val="single" w:sz="4" w:space="0" w:color="auto"/>
            </w:tcBorders>
          </w:tcPr>
          <w:p w14:paraId="57311025" w14:textId="77777777" w:rsidR="00AC5502" w:rsidRPr="00DE0373" w:rsidRDefault="00AC5502" w:rsidP="004B0C70">
            <w:pPr>
              <w:rPr>
                <w:rFonts w:eastAsia="Calibri" w:cs="Arial"/>
              </w:rPr>
            </w:pPr>
            <w:r w:rsidRPr="00DE0373">
              <w:rPr>
                <w:rFonts w:eastAsia="Calibri" w:cs="Arial"/>
              </w:rPr>
              <w:t>Completed</w:t>
            </w:r>
          </w:p>
        </w:tc>
      </w:tr>
      <w:tr w:rsidR="00AC5502" w:rsidRPr="00DE0373" w14:paraId="1962008D" w14:textId="77777777" w:rsidTr="004B0C70">
        <w:trPr>
          <w:trHeight w:val="670"/>
        </w:trPr>
        <w:tc>
          <w:tcPr>
            <w:tcW w:w="3539" w:type="dxa"/>
            <w:tcBorders>
              <w:top w:val="single" w:sz="4" w:space="0" w:color="auto"/>
              <w:left w:val="single" w:sz="4" w:space="0" w:color="auto"/>
              <w:bottom w:val="single" w:sz="4" w:space="0" w:color="auto"/>
              <w:right w:val="single" w:sz="4" w:space="0" w:color="auto"/>
            </w:tcBorders>
          </w:tcPr>
          <w:p w14:paraId="4D7B15E7" w14:textId="77777777" w:rsidR="00AC5502" w:rsidRPr="00DE0373" w:rsidRDefault="00AC5502" w:rsidP="004B0C70">
            <w:pPr>
              <w:rPr>
                <w:rFonts w:eastAsia="Calibri" w:cs="Arial"/>
              </w:rPr>
            </w:pPr>
            <w:r w:rsidRPr="00DE0373">
              <w:rPr>
                <w:rFonts w:eastAsia="Calibri" w:cs="Arial"/>
              </w:rPr>
              <w:t>Include representative workforce focus in annual workforce planning data packs and discussions.</w:t>
            </w:r>
          </w:p>
        </w:tc>
        <w:tc>
          <w:tcPr>
            <w:tcW w:w="4961" w:type="dxa"/>
            <w:tcBorders>
              <w:left w:val="single" w:sz="4" w:space="0" w:color="auto"/>
              <w:bottom w:val="single" w:sz="4" w:space="0" w:color="auto"/>
              <w:right w:val="single" w:sz="4" w:space="0" w:color="auto"/>
            </w:tcBorders>
          </w:tcPr>
          <w:p w14:paraId="06040B80" w14:textId="77777777" w:rsidR="00AC5502" w:rsidRPr="00DE0373" w:rsidRDefault="00AC5502" w:rsidP="004B0C70">
            <w:pPr>
              <w:rPr>
                <w:rFonts w:eastAsia="Calibri" w:cs="Arial"/>
              </w:rPr>
            </w:pPr>
            <w:r w:rsidRPr="00DE0373">
              <w:rPr>
                <w:rFonts w:eastAsia="Calibri" w:cs="Arial"/>
              </w:rPr>
              <w:t>EDI continues to be a focus within workforce planning data packs and meetings with care services.</w:t>
            </w:r>
          </w:p>
        </w:tc>
        <w:tc>
          <w:tcPr>
            <w:tcW w:w="1418" w:type="dxa"/>
            <w:tcBorders>
              <w:left w:val="single" w:sz="4" w:space="0" w:color="auto"/>
              <w:bottom w:val="single" w:sz="4" w:space="0" w:color="auto"/>
              <w:right w:val="single" w:sz="4" w:space="0" w:color="auto"/>
            </w:tcBorders>
          </w:tcPr>
          <w:p w14:paraId="6439D30A" w14:textId="77777777" w:rsidR="00AC5502" w:rsidRPr="00DE0373" w:rsidRDefault="00AC5502" w:rsidP="004B0C70">
            <w:pPr>
              <w:rPr>
                <w:rFonts w:eastAsia="Calibri" w:cs="Arial"/>
              </w:rPr>
            </w:pPr>
            <w:r w:rsidRPr="00DE0373">
              <w:rPr>
                <w:rFonts w:eastAsia="Calibri" w:cs="Arial"/>
              </w:rPr>
              <w:t>Completed</w:t>
            </w:r>
          </w:p>
        </w:tc>
      </w:tr>
      <w:tr w:rsidR="00AC5502" w:rsidRPr="00DE0373" w14:paraId="6CB9244A" w14:textId="77777777" w:rsidTr="004B0C70">
        <w:tc>
          <w:tcPr>
            <w:tcW w:w="3539" w:type="dxa"/>
            <w:tcBorders>
              <w:top w:val="single" w:sz="4" w:space="0" w:color="auto"/>
              <w:left w:val="single" w:sz="4" w:space="0" w:color="auto"/>
              <w:bottom w:val="single" w:sz="4" w:space="0" w:color="auto"/>
              <w:right w:val="single" w:sz="4" w:space="0" w:color="auto"/>
            </w:tcBorders>
            <w:hideMark/>
          </w:tcPr>
          <w:p w14:paraId="5FBBD37F" w14:textId="77777777" w:rsidR="00AC5502" w:rsidRPr="00DE0373" w:rsidRDefault="00AC5502" w:rsidP="004B0C70">
            <w:pPr>
              <w:rPr>
                <w:rFonts w:eastAsia="Calibri" w:cs="Arial"/>
              </w:rPr>
            </w:pPr>
            <w:r w:rsidRPr="00DE0373">
              <w:rPr>
                <w:rFonts w:eastAsia="Calibri" w:cs="Arial"/>
              </w:rPr>
              <w:t>Ensure that guidance on applying for posts and the selection process is available in accessible formats.</w:t>
            </w:r>
          </w:p>
        </w:tc>
        <w:tc>
          <w:tcPr>
            <w:tcW w:w="4961" w:type="dxa"/>
            <w:tcBorders>
              <w:top w:val="single" w:sz="4" w:space="0" w:color="auto"/>
              <w:left w:val="single" w:sz="4" w:space="0" w:color="auto"/>
              <w:bottom w:val="single" w:sz="4" w:space="0" w:color="auto"/>
              <w:right w:val="single" w:sz="4" w:space="0" w:color="auto"/>
            </w:tcBorders>
          </w:tcPr>
          <w:p w14:paraId="43ADAAC5" w14:textId="77777777" w:rsidR="00AC5502" w:rsidRPr="00DE0373" w:rsidRDefault="00AC5502" w:rsidP="004B0C70">
            <w:pPr>
              <w:rPr>
                <w:rFonts w:eastAsia="Calibri" w:cs="Arial"/>
              </w:rPr>
            </w:pPr>
            <w:r w:rsidRPr="00DE0373">
              <w:rPr>
                <w:rFonts w:eastAsia="Calibri" w:cs="Arial"/>
              </w:rPr>
              <w:t>Guidance has been developed, including in video format with sub-titles.</w:t>
            </w:r>
          </w:p>
          <w:p w14:paraId="787D162A" w14:textId="77777777" w:rsidR="00AC5502" w:rsidRPr="00DE0373" w:rsidRDefault="00AC5502" w:rsidP="004B0C70">
            <w:pPr>
              <w:rPr>
                <w:rFonts w:eastAsia="Calibri" w:cs="Arial"/>
              </w:rPr>
            </w:pPr>
          </w:p>
          <w:p w14:paraId="71C837D9" w14:textId="77777777" w:rsidR="00AC5502" w:rsidRPr="00DE0373" w:rsidRDefault="00AC5502" w:rsidP="004B0C70">
            <w:pPr>
              <w:rPr>
                <w:rFonts w:eastAsia="Calibri" w:cs="Arial"/>
              </w:rPr>
            </w:pPr>
          </w:p>
        </w:tc>
        <w:tc>
          <w:tcPr>
            <w:tcW w:w="1418" w:type="dxa"/>
            <w:tcBorders>
              <w:top w:val="single" w:sz="4" w:space="0" w:color="auto"/>
              <w:left w:val="single" w:sz="4" w:space="0" w:color="auto"/>
              <w:bottom w:val="single" w:sz="4" w:space="0" w:color="auto"/>
              <w:right w:val="single" w:sz="4" w:space="0" w:color="auto"/>
            </w:tcBorders>
            <w:hideMark/>
          </w:tcPr>
          <w:p w14:paraId="291383EF" w14:textId="77777777" w:rsidR="00AC5502" w:rsidRPr="00DE0373" w:rsidRDefault="00AC5502" w:rsidP="004B0C70">
            <w:pPr>
              <w:rPr>
                <w:rFonts w:eastAsia="Calibri" w:cs="Arial"/>
              </w:rPr>
            </w:pPr>
            <w:r w:rsidRPr="00DE0373">
              <w:rPr>
                <w:rFonts w:eastAsia="Calibri" w:cs="Arial"/>
              </w:rPr>
              <w:t>Completed</w:t>
            </w:r>
          </w:p>
        </w:tc>
      </w:tr>
      <w:tr w:rsidR="00AC5502" w:rsidRPr="00DE0373" w14:paraId="6CC7785C" w14:textId="77777777" w:rsidTr="00C928B0">
        <w:tc>
          <w:tcPr>
            <w:tcW w:w="99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B21B21" w14:textId="77777777" w:rsidR="00AC5502" w:rsidRPr="00DE0373" w:rsidRDefault="00AC5502" w:rsidP="004B0C70">
            <w:pPr>
              <w:spacing w:after="200" w:line="276" w:lineRule="auto"/>
              <w:rPr>
                <w:rFonts w:eastAsia="Calibri" w:cs="Arial"/>
              </w:rPr>
            </w:pPr>
            <w:r w:rsidRPr="00DE0373">
              <w:rPr>
                <w:rFonts w:eastAsiaTheme="minorHAnsi" w:cs="Arial"/>
                <w:b/>
              </w:rPr>
              <w:t xml:space="preserve">Theme 2; Leadership, Learning and Development- </w:t>
            </w:r>
            <w:r w:rsidRPr="00DE0373">
              <w:rPr>
                <w:rFonts w:eastAsiaTheme="minorHAnsi" w:cs="Arial"/>
                <w:bCs/>
              </w:rPr>
              <w:t>WDES Indicator 5</w:t>
            </w:r>
          </w:p>
        </w:tc>
      </w:tr>
      <w:tr w:rsidR="00AC5502" w:rsidRPr="00DE0373" w14:paraId="569ED7D1" w14:textId="77777777" w:rsidTr="004B0C70">
        <w:tc>
          <w:tcPr>
            <w:tcW w:w="3539" w:type="dxa"/>
            <w:tcBorders>
              <w:top w:val="single" w:sz="4" w:space="0" w:color="auto"/>
              <w:left w:val="single" w:sz="4" w:space="0" w:color="auto"/>
              <w:bottom w:val="single" w:sz="4" w:space="0" w:color="auto"/>
              <w:right w:val="single" w:sz="4" w:space="0" w:color="auto"/>
            </w:tcBorders>
          </w:tcPr>
          <w:p w14:paraId="3B61442E" w14:textId="77777777" w:rsidR="00AC5502" w:rsidRPr="00DE0373" w:rsidRDefault="00AC5502" w:rsidP="004B0C70">
            <w:pPr>
              <w:rPr>
                <w:rFonts w:eastAsia="Calibri" w:cs="Arial"/>
                <w:b/>
                <w:bCs/>
              </w:rPr>
            </w:pPr>
            <w:r w:rsidRPr="00DE0373">
              <w:rPr>
                <w:rFonts w:eastAsia="Calibri" w:cs="Arial"/>
                <w:b/>
                <w:bCs/>
              </w:rPr>
              <w:t>Action</w:t>
            </w:r>
          </w:p>
        </w:tc>
        <w:tc>
          <w:tcPr>
            <w:tcW w:w="4961" w:type="dxa"/>
            <w:tcBorders>
              <w:top w:val="single" w:sz="4" w:space="0" w:color="auto"/>
              <w:left w:val="single" w:sz="4" w:space="0" w:color="auto"/>
              <w:bottom w:val="single" w:sz="4" w:space="0" w:color="auto"/>
              <w:right w:val="single" w:sz="4" w:space="0" w:color="auto"/>
            </w:tcBorders>
          </w:tcPr>
          <w:p w14:paraId="1D815BC6" w14:textId="35134E9C" w:rsidR="00AC5502" w:rsidRPr="00DE0373" w:rsidRDefault="00AC5502" w:rsidP="004B0C70">
            <w:pPr>
              <w:rPr>
                <w:rFonts w:eastAsia="Calibri" w:cs="Arial"/>
                <w:b/>
                <w:bCs/>
              </w:rPr>
            </w:pPr>
            <w:r w:rsidRPr="00DE0373">
              <w:rPr>
                <w:rFonts w:eastAsia="Calibri" w:cs="Arial"/>
                <w:b/>
                <w:bCs/>
              </w:rPr>
              <w:t xml:space="preserve">Status Update- </w:t>
            </w:r>
            <w:r w:rsidR="00352627" w:rsidRPr="00DE0373">
              <w:rPr>
                <w:rFonts w:eastAsia="Calibri" w:cs="Arial"/>
                <w:b/>
                <w:bCs/>
              </w:rPr>
              <w:t>October</w:t>
            </w:r>
            <w:r w:rsidRPr="00DE0373">
              <w:rPr>
                <w:rFonts w:eastAsia="Calibri" w:cs="Arial"/>
                <w:b/>
                <w:bCs/>
              </w:rPr>
              <w:t xml:space="preserve"> 2023</w:t>
            </w:r>
          </w:p>
        </w:tc>
        <w:tc>
          <w:tcPr>
            <w:tcW w:w="1418" w:type="dxa"/>
            <w:tcBorders>
              <w:top w:val="single" w:sz="4" w:space="0" w:color="auto"/>
              <w:left w:val="single" w:sz="4" w:space="0" w:color="auto"/>
              <w:bottom w:val="single" w:sz="4" w:space="0" w:color="auto"/>
              <w:right w:val="single" w:sz="4" w:space="0" w:color="auto"/>
            </w:tcBorders>
          </w:tcPr>
          <w:p w14:paraId="06AA8437" w14:textId="77777777" w:rsidR="00AC5502" w:rsidRPr="00DE0373" w:rsidRDefault="00AC5502" w:rsidP="004B0C70">
            <w:pPr>
              <w:rPr>
                <w:rFonts w:eastAsia="Calibri" w:cs="Arial"/>
              </w:rPr>
            </w:pPr>
          </w:p>
        </w:tc>
      </w:tr>
      <w:tr w:rsidR="00AC5502" w:rsidRPr="00DE0373" w14:paraId="2CD1C482" w14:textId="77777777" w:rsidTr="004B0C70">
        <w:tc>
          <w:tcPr>
            <w:tcW w:w="3539" w:type="dxa"/>
            <w:tcBorders>
              <w:top w:val="single" w:sz="4" w:space="0" w:color="auto"/>
              <w:left w:val="single" w:sz="4" w:space="0" w:color="auto"/>
              <w:bottom w:val="single" w:sz="4" w:space="0" w:color="auto"/>
              <w:right w:val="single" w:sz="4" w:space="0" w:color="auto"/>
            </w:tcBorders>
          </w:tcPr>
          <w:p w14:paraId="6ED839C6" w14:textId="77777777" w:rsidR="00AC5502" w:rsidRDefault="00AC5502" w:rsidP="004B0C70">
            <w:pPr>
              <w:rPr>
                <w:rFonts w:eastAsia="Calibri" w:cs="Arial"/>
              </w:rPr>
            </w:pPr>
            <w:r w:rsidRPr="00DE0373">
              <w:rPr>
                <w:rFonts w:eastAsia="Calibri" w:cs="Arial"/>
              </w:rPr>
              <w:t>Deliver our year 2 Reciprocal Mentoring (RM) programme to give managers greater insights into the experience of diverse (including disabled) colleagues and to support inclusive and collective leadership development of all participants.</w:t>
            </w:r>
          </w:p>
          <w:p w14:paraId="26CA62B7" w14:textId="77777777" w:rsidR="00DE0373" w:rsidRPr="00DE0373" w:rsidRDefault="00DE0373" w:rsidP="004B0C70">
            <w:pPr>
              <w:rPr>
                <w:rFonts w:eastAsia="Calibri" w:cs="Arial"/>
              </w:rPr>
            </w:pPr>
          </w:p>
        </w:tc>
        <w:tc>
          <w:tcPr>
            <w:tcW w:w="4961" w:type="dxa"/>
            <w:tcBorders>
              <w:top w:val="single" w:sz="4" w:space="0" w:color="auto"/>
              <w:left w:val="single" w:sz="4" w:space="0" w:color="auto"/>
              <w:bottom w:val="single" w:sz="4" w:space="0" w:color="auto"/>
              <w:right w:val="single" w:sz="4" w:space="0" w:color="auto"/>
            </w:tcBorders>
            <w:hideMark/>
          </w:tcPr>
          <w:p w14:paraId="3D39CEA3" w14:textId="52FBC7F6" w:rsidR="00AC5502" w:rsidRPr="00DE0373" w:rsidRDefault="00AC5502" w:rsidP="004B0C70">
            <w:pPr>
              <w:rPr>
                <w:rFonts w:eastAsia="Calibri" w:cs="Arial"/>
              </w:rPr>
            </w:pPr>
            <w:r w:rsidRPr="00DE0373">
              <w:rPr>
                <w:rFonts w:eastAsia="Calibri" w:cs="Arial"/>
              </w:rPr>
              <w:t>Year 2 R</w:t>
            </w:r>
            <w:r w:rsidR="002D4E62" w:rsidRPr="00DE0373">
              <w:rPr>
                <w:rFonts w:eastAsia="Calibri" w:cs="Arial"/>
              </w:rPr>
              <w:t>eciprocal Mentoring</w:t>
            </w:r>
            <w:r w:rsidRPr="00DE0373">
              <w:rPr>
                <w:rFonts w:eastAsia="Calibri" w:cs="Arial"/>
              </w:rPr>
              <w:t xml:space="preserve"> programme delivery completed. </w:t>
            </w:r>
          </w:p>
          <w:p w14:paraId="7126990F" w14:textId="77777777" w:rsidR="00AC5502" w:rsidRPr="00DE0373" w:rsidRDefault="00AC5502" w:rsidP="00634CD0">
            <w:pPr>
              <w:rPr>
                <w:rFonts w:eastAsia="Calibri" w:cs="Arial"/>
              </w:rPr>
            </w:pPr>
          </w:p>
        </w:tc>
        <w:tc>
          <w:tcPr>
            <w:tcW w:w="1418" w:type="dxa"/>
            <w:tcBorders>
              <w:top w:val="single" w:sz="4" w:space="0" w:color="auto"/>
              <w:left w:val="single" w:sz="4" w:space="0" w:color="auto"/>
              <w:bottom w:val="single" w:sz="4" w:space="0" w:color="auto"/>
              <w:right w:val="single" w:sz="4" w:space="0" w:color="auto"/>
            </w:tcBorders>
            <w:hideMark/>
          </w:tcPr>
          <w:p w14:paraId="70CABD6C" w14:textId="77777777" w:rsidR="00AC5502" w:rsidRPr="00DE0373" w:rsidRDefault="00AC5502" w:rsidP="004B0C70">
            <w:pPr>
              <w:rPr>
                <w:rFonts w:eastAsia="Calibri" w:cs="Arial"/>
              </w:rPr>
            </w:pPr>
            <w:r w:rsidRPr="00DE0373">
              <w:rPr>
                <w:rFonts w:eastAsia="Calibri" w:cs="Arial"/>
              </w:rPr>
              <w:t>Completed</w:t>
            </w:r>
          </w:p>
        </w:tc>
      </w:tr>
      <w:tr w:rsidR="00AC5502" w:rsidRPr="00DE0373" w14:paraId="0BE79A30" w14:textId="77777777" w:rsidTr="004B0C70">
        <w:tc>
          <w:tcPr>
            <w:tcW w:w="3539" w:type="dxa"/>
            <w:tcBorders>
              <w:top w:val="single" w:sz="4" w:space="0" w:color="auto"/>
              <w:left w:val="single" w:sz="4" w:space="0" w:color="auto"/>
              <w:bottom w:val="single" w:sz="4" w:space="0" w:color="auto"/>
              <w:right w:val="single" w:sz="4" w:space="0" w:color="auto"/>
            </w:tcBorders>
            <w:hideMark/>
          </w:tcPr>
          <w:p w14:paraId="4A7B33CD" w14:textId="77777777" w:rsidR="00AC5502" w:rsidRDefault="00AC5502" w:rsidP="004B0C70">
            <w:pPr>
              <w:spacing w:after="255"/>
              <w:contextualSpacing/>
              <w:rPr>
                <w:rFonts w:eastAsia="Calibri" w:cs="Arial"/>
              </w:rPr>
            </w:pPr>
            <w:r w:rsidRPr="00DE0373">
              <w:rPr>
                <w:rFonts w:eastAsia="Calibri" w:cs="Arial"/>
              </w:rPr>
              <w:t>Develop and commence delivery year 2 EDI communications and engagement campaign and learning events for 2023 with our DaWN staff network and our services.</w:t>
            </w:r>
          </w:p>
          <w:p w14:paraId="066C74D7" w14:textId="77777777" w:rsidR="00DE0373" w:rsidRPr="00DE0373" w:rsidRDefault="00DE0373" w:rsidP="004B0C70">
            <w:pPr>
              <w:spacing w:after="255"/>
              <w:contextualSpacing/>
              <w:rPr>
                <w:rFonts w:eastAsia="Calibri" w:cs="Arial"/>
              </w:rPr>
            </w:pPr>
          </w:p>
        </w:tc>
        <w:tc>
          <w:tcPr>
            <w:tcW w:w="4961" w:type="dxa"/>
            <w:tcBorders>
              <w:top w:val="single" w:sz="4" w:space="0" w:color="auto"/>
              <w:left w:val="single" w:sz="4" w:space="0" w:color="auto"/>
              <w:bottom w:val="single" w:sz="4" w:space="0" w:color="auto"/>
              <w:right w:val="single" w:sz="4" w:space="0" w:color="auto"/>
            </w:tcBorders>
          </w:tcPr>
          <w:p w14:paraId="09CB05C5" w14:textId="77777777" w:rsidR="00AC5502" w:rsidRPr="00DE0373" w:rsidRDefault="00AC5502" w:rsidP="004B0C70">
            <w:pPr>
              <w:rPr>
                <w:rFonts w:eastAsia="Calibri" w:cs="Arial"/>
              </w:rPr>
            </w:pPr>
            <w:r w:rsidRPr="00DE0373">
              <w:rPr>
                <w:rFonts w:eastAsia="Calibri" w:cs="Arial"/>
              </w:rPr>
              <w:t>Communications and engagement plan implemented, and each campaign evaluated. Events and activity have been promoted widely to ensure all staff are informed and able to get involved in celebrating important diversity and inclusion days.</w:t>
            </w:r>
          </w:p>
        </w:tc>
        <w:tc>
          <w:tcPr>
            <w:tcW w:w="1418" w:type="dxa"/>
            <w:tcBorders>
              <w:top w:val="single" w:sz="4" w:space="0" w:color="auto"/>
              <w:left w:val="single" w:sz="4" w:space="0" w:color="auto"/>
              <w:bottom w:val="single" w:sz="4" w:space="0" w:color="auto"/>
              <w:right w:val="single" w:sz="4" w:space="0" w:color="auto"/>
            </w:tcBorders>
            <w:hideMark/>
          </w:tcPr>
          <w:p w14:paraId="4CA909BE" w14:textId="77777777" w:rsidR="00AC5502" w:rsidRPr="00DE0373" w:rsidRDefault="00AC5502" w:rsidP="004B0C70">
            <w:pPr>
              <w:rPr>
                <w:rFonts w:eastAsia="Calibri" w:cs="Arial"/>
              </w:rPr>
            </w:pPr>
            <w:r w:rsidRPr="00DE0373">
              <w:rPr>
                <w:rFonts w:eastAsia="Calibri" w:cs="Arial"/>
              </w:rPr>
              <w:t>Completed</w:t>
            </w:r>
          </w:p>
        </w:tc>
      </w:tr>
      <w:tr w:rsidR="00AC5502" w:rsidRPr="00DE0373" w14:paraId="761B498F" w14:textId="77777777" w:rsidTr="004B0C70">
        <w:tc>
          <w:tcPr>
            <w:tcW w:w="3539" w:type="dxa"/>
            <w:tcBorders>
              <w:top w:val="single" w:sz="4" w:space="0" w:color="auto"/>
              <w:left w:val="single" w:sz="4" w:space="0" w:color="auto"/>
              <w:bottom w:val="single" w:sz="4" w:space="0" w:color="auto"/>
              <w:right w:val="single" w:sz="4" w:space="0" w:color="auto"/>
            </w:tcBorders>
          </w:tcPr>
          <w:p w14:paraId="4F12E6F3" w14:textId="77777777" w:rsidR="00AC5502" w:rsidRPr="00DE0373" w:rsidRDefault="00AC5502" w:rsidP="004B0C70">
            <w:pPr>
              <w:spacing w:after="200" w:line="276" w:lineRule="auto"/>
              <w:rPr>
                <w:rFonts w:eastAsia="Calibri" w:cs="Arial"/>
              </w:rPr>
            </w:pPr>
            <w:r w:rsidRPr="00DE0373">
              <w:rPr>
                <w:rFonts w:eastAsiaTheme="minorHAnsi" w:cs="Arial"/>
              </w:rPr>
              <w:t>Participate in Calibre positive action personal development programme and build on and promote the learning across the organisation with participants.</w:t>
            </w:r>
          </w:p>
        </w:tc>
        <w:tc>
          <w:tcPr>
            <w:tcW w:w="4961" w:type="dxa"/>
            <w:tcBorders>
              <w:top w:val="single" w:sz="4" w:space="0" w:color="auto"/>
              <w:left w:val="single" w:sz="4" w:space="0" w:color="auto"/>
              <w:bottom w:val="single" w:sz="4" w:space="0" w:color="auto"/>
              <w:right w:val="single" w:sz="4" w:space="0" w:color="auto"/>
            </w:tcBorders>
          </w:tcPr>
          <w:p w14:paraId="2332C502" w14:textId="270CDB76" w:rsidR="00AC5502" w:rsidRPr="00DE0373" w:rsidRDefault="00AC5502" w:rsidP="004B0C70">
            <w:pPr>
              <w:rPr>
                <w:rFonts w:eastAsia="Calibri" w:cs="Arial"/>
              </w:rPr>
            </w:pPr>
            <w:r w:rsidRPr="00DE0373">
              <w:rPr>
                <w:rFonts w:eastAsia="Calibri" w:cs="Arial"/>
              </w:rPr>
              <w:t xml:space="preserve">Eleven participants completed the </w:t>
            </w:r>
            <w:r w:rsidR="00A52C48" w:rsidRPr="00DE0373">
              <w:rPr>
                <w:rFonts w:eastAsia="Calibri" w:cs="Arial"/>
              </w:rPr>
              <w:t xml:space="preserve">Calibre leadership development </w:t>
            </w:r>
            <w:r w:rsidRPr="00DE0373">
              <w:rPr>
                <w:rFonts w:eastAsia="Calibri" w:cs="Arial"/>
              </w:rPr>
              <w:t>programme</w:t>
            </w:r>
            <w:r w:rsidR="00A52C48" w:rsidRPr="00DE0373">
              <w:rPr>
                <w:rFonts w:eastAsia="Calibri" w:cs="Arial"/>
              </w:rPr>
              <w:t xml:space="preserve"> and the</w:t>
            </w:r>
            <w:r w:rsidRPr="00DE0373">
              <w:rPr>
                <w:rFonts w:eastAsia="Calibri" w:cs="Arial"/>
              </w:rPr>
              <w:t xml:space="preserve"> knowledge and learning shared via our DaWN staff network.</w:t>
            </w:r>
          </w:p>
        </w:tc>
        <w:tc>
          <w:tcPr>
            <w:tcW w:w="1418" w:type="dxa"/>
            <w:tcBorders>
              <w:top w:val="single" w:sz="4" w:space="0" w:color="auto"/>
              <w:left w:val="single" w:sz="4" w:space="0" w:color="auto"/>
              <w:bottom w:val="single" w:sz="4" w:space="0" w:color="auto"/>
              <w:right w:val="single" w:sz="4" w:space="0" w:color="auto"/>
            </w:tcBorders>
            <w:hideMark/>
          </w:tcPr>
          <w:p w14:paraId="6DBC9133" w14:textId="77777777" w:rsidR="00AC5502" w:rsidRPr="00DE0373" w:rsidRDefault="00AC5502" w:rsidP="004B0C70">
            <w:pPr>
              <w:rPr>
                <w:rFonts w:eastAsia="Calibri" w:cs="Arial"/>
              </w:rPr>
            </w:pPr>
            <w:r w:rsidRPr="00DE0373">
              <w:rPr>
                <w:rFonts w:eastAsia="Calibri" w:cs="Arial"/>
              </w:rPr>
              <w:t>Completed</w:t>
            </w:r>
          </w:p>
        </w:tc>
      </w:tr>
      <w:tr w:rsidR="00AC5502" w:rsidRPr="00DE0373" w14:paraId="09C97545" w14:textId="77777777" w:rsidTr="00DE0373">
        <w:trPr>
          <w:trHeight w:val="132"/>
        </w:trPr>
        <w:tc>
          <w:tcPr>
            <w:tcW w:w="3539" w:type="dxa"/>
            <w:tcBorders>
              <w:top w:val="single" w:sz="4" w:space="0" w:color="auto"/>
              <w:left w:val="single" w:sz="4" w:space="0" w:color="auto"/>
              <w:bottom w:val="single" w:sz="4" w:space="0" w:color="auto"/>
              <w:right w:val="single" w:sz="4" w:space="0" w:color="auto"/>
            </w:tcBorders>
            <w:hideMark/>
          </w:tcPr>
          <w:p w14:paraId="0DF1952C" w14:textId="522B14B6" w:rsidR="00DE0373" w:rsidRDefault="00AC5502" w:rsidP="004B0C70">
            <w:pPr>
              <w:rPr>
                <w:rFonts w:eastAsia="Calibri" w:cs="Arial"/>
              </w:rPr>
            </w:pPr>
            <w:r w:rsidRPr="00DE0373">
              <w:rPr>
                <w:rFonts w:eastAsia="Calibri" w:cs="Arial"/>
              </w:rPr>
              <w:lastRenderedPageBreak/>
              <w:t>Increase awareness of the opportunities for training, continuous professional development (CPD) and work-based learning, through promotion of the West Yorkshire and Harrogate System, regional, and national programmes and event through internal promotion/communications.</w:t>
            </w:r>
          </w:p>
          <w:p w14:paraId="0FE1F2DB" w14:textId="77777777" w:rsidR="00DE0373" w:rsidRPr="00DE0373" w:rsidRDefault="00DE0373" w:rsidP="004B0C70">
            <w:pPr>
              <w:rPr>
                <w:rFonts w:eastAsia="Calibri" w:cs="Arial"/>
              </w:rPr>
            </w:pPr>
          </w:p>
        </w:tc>
        <w:tc>
          <w:tcPr>
            <w:tcW w:w="4961" w:type="dxa"/>
            <w:tcBorders>
              <w:top w:val="single" w:sz="4" w:space="0" w:color="auto"/>
              <w:left w:val="single" w:sz="4" w:space="0" w:color="auto"/>
              <w:bottom w:val="single" w:sz="4" w:space="0" w:color="auto"/>
              <w:right w:val="single" w:sz="4" w:space="0" w:color="auto"/>
            </w:tcBorders>
          </w:tcPr>
          <w:p w14:paraId="6A2E716E" w14:textId="77777777" w:rsidR="00AC5502" w:rsidRPr="00DE0373" w:rsidRDefault="00AC5502" w:rsidP="004B0C70">
            <w:pPr>
              <w:rPr>
                <w:rFonts w:eastAsia="Calibri" w:cs="Arial"/>
              </w:rPr>
            </w:pPr>
            <w:r w:rsidRPr="00DE0373">
              <w:rPr>
                <w:rFonts w:eastAsia="Calibri" w:cs="Arial"/>
              </w:rPr>
              <w:t>Workshops, events and programmes actively promoted as they become available. Examples include leadership development programmes for staff and development programmes for our staff network chairs.</w:t>
            </w:r>
          </w:p>
          <w:p w14:paraId="12C279CE" w14:textId="77777777" w:rsidR="00AC5502" w:rsidRPr="00DE0373" w:rsidRDefault="00AC5502" w:rsidP="004B0C70">
            <w:pPr>
              <w:rPr>
                <w:rFonts w:eastAsia="Calibri" w:cs="Arial"/>
              </w:rPr>
            </w:pPr>
          </w:p>
        </w:tc>
        <w:tc>
          <w:tcPr>
            <w:tcW w:w="1418" w:type="dxa"/>
            <w:tcBorders>
              <w:top w:val="single" w:sz="4" w:space="0" w:color="auto"/>
              <w:left w:val="single" w:sz="4" w:space="0" w:color="auto"/>
              <w:bottom w:val="single" w:sz="4" w:space="0" w:color="auto"/>
              <w:right w:val="single" w:sz="4" w:space="0" w:color="auto"/>
            </w:tcBorders>
            <w:hideMark/>
          </w:tcPr>
          <w:p w14:paraId="49C79C71" w14:textId="77777777" w:rsidR="00AC5502" w:rsidRPr="00DE0373" w:rsidRDefault="00AC5502" w:rsidP="004B0C70">
            <w:pPr>
              <w:jc w:val="center"/>
              <w:rPr>
                <w:rFonts w:eastAsia="Calibri" w:cs="Arial"/>
              </w:rPr>
            </w:pPr>
            <w:r w:rsidRPr="00DE0373">
              <w:rPr>
                <w:rFonts w:eastAsia="Calibri" w:cs="Arial"/>
              </w:rPr>
              <w:t>Completed</w:t>
            </w:r>
          </w:p>
        </w:tc>
      </w:tr>
      <w:tr w:rsidR="00AC5502" w:rsidRPr="00DE0373" w14:paraId="11C9B959" w14:textId="77777777" w:rsidTr="00C928B0">
        <w:tc>
          <w:tcPr>
            <w:tcW w:w="99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A47FDB" w14:textId="77777777" w:rsidR="00AC5502" w:rsidRPr="00DE0373" w:rsidRDefault="00AC5502" w:rsidP="004B0C70">
            <w:pPr>
              <w:spacing w:after="200" w:line="276" w:lineRule="auto"/>
              <w:rPr>
                <w:rFonts w:eastAsia="Calibri" w:cs="Arial"/>
              </w:rPr>
            </w:pPr>
            <w:r w:rsidRPr="00DE0373">
              <w:rPr>
                <w:rFonts w:eastAsiaTheme="minorHAnsi" w:cs="Arial"/>
                <w:b/>
                <w:bCs/>
              </w:rPr>
              <w:t xml:space="preserve">Theme 3; People Experience- </w:t>
            </w:r>
            <w:r w:rsidRPr="00DE0373">
              <w:rPr>
                <w:rFonts w:eastAsiaTheme="minorHAnsi" w:cs="Arial"/>
              </w:rPr>
              <w:t xml:space="preserve">WDES Indicators 5,6,7 and 8 </w:t>
            </w:r>
          </w:p>
        </w:tc>
      </w:tr>
      <w:tr w:rsidR="00AC5502" w:rsidRPr="00DE0373" w14:paraId="21548A4A" w14:textId="77777777" w:rsidTr="004B0C70">
        <w:tc>
          <w:tcPr>
            <w:tcW w:w="3539" w:type="dxa"/>
            <w:tcBorders>
              <w:top w:val="single" w:sz="4" w:space="0" w:color="auto"/>
              <w:left w:val="single" w:sz="4" w:space="0" w:color="auto"/>
              <w:bottom w:val="single" w:sz="4" w:space="0" w:color="auto"/>
              <w:right w:val="single" w:sz="4" w:space="0" w:color="auto"/>
            </w:tcBorders>
          </w:tcPr>
          <w:p w14:paraId="02D83512" w14:textId="77777777" w:rsidR="00AC5502" w:rsidRPr="00DE0373" w:rsidRDefault="00AC5502" w:rsidP="004B0C70">
            <w:pPr>
              <w:rPr>
                <w:rFonts w:eastAsia="Calibri" w:cs="Arial"/>
                <w:b/>
                <w:bCs/>
              </w:rPr>
            </w:pPr>
            <w:r w:rsidRPr="00DE0373">
              <w:rPr>
                <w:rFonts w:eastAsia="Calibri" w:cs="Arial"/>
                <w:b/>
                <w:bCs/>
              </w:rPr>
              <w:t>Action</w:t>
            </w:r>
          </w:p>
        </w:tc>
        <w:tc>
          <w:tcPr>
            <w:tcW w:w="4961" w:type="dxa"/>
            <w:tcBorders>
              <w:top w:val="single" w:sz="4" w:space="0" w:color="auto"/>
              <w:left w:val="single" w:sz="4" w:space="0" w:color="auto"/>
              <w:bottom w:val="single" w:sz="4" w:space="0" w:color="auto"/>
              <w:right w:val="single" w:sz="4" w:space="0" w:color="auto"/>
            </w:tcBorders>
          </w:tcPr>
          <w:p w14:paraId="3B78ADAF" w14:textId="1223BEBF" w:rsidR="00AC5502" w:rsidRPr="00DE0373" w:rsidRDefault="00AC5502" w:rsidP="004B0C70">
            <w:pPr>
              <w:rPr>
                <w:rFonts w:eastAsia="Calibri" w:cs="Arial"/>
                <w:b/>
                <w:bCs/>
              </w:rPr>
            </w:pPr>
            <w:r w:rsidRPr="00DE0373">
              <w:rPr>
                <w:rFonts w:eastAsia="Calibri" w:cs="Arial"/>
                <w:b/>
                <w:bCs/>
              </w:rPr>
              <w:t xml:space="preserve">Status Update- </w:t>
            </w:r>
            <w:r w:rsidR="00352627" w:rsidRPr="00DE0373">
              <w:rPr>
                <w:rFonts w:eastAsia="Calibri" w:cs="Arial"/>
                <w:b/>
                <w:bCs/>
              </w:rPr>
              <w:t>October</w:t>
            </w:r>
            <w:r w:rsidRPr="00DE0373">
              <w:rPr>
                <w:rFonts w:eastAsia="Calibri" w:cs="Arial"/>
                <w:b/>
                <w:bCs/>
              </w:rPr>
              <w:t xml:space="preserve"> 2023</w:t>
            </w:r>
          </w:p>
        </w:tc>
        <w:tc>
          <w:tcPr>
            <w:tcW w:w="1418" w:type="dxa"/>
            <w:tcBorders>
              <w:top w:val="single" w:sz="4" w:space="0" w:color="auto"/>
              <w:left w:val="single" w:sz="4" w:space="0" w:color="auto"/>
              <w:bottom w:val="single" w:sz="4" w:space="0" w:color="auto"/>
              <w:right w:val="single" w:sz="4" w:space="0" w:color="auto"/>
            </w:tcBorders>
          </w:tcPr>
          <w:p w14:paraId="1FABEA9F" w14:textId="77777777" w:rsidR="00AC5502" w:rsidRPr="00DE0373" w:rsidRDefault="00AC5502" w:rsidP="004B0C70">
            <w:pPr>
              <w:rPr>
                <w:rFonts w:eastAsia="Calibri" w:cs="Arial"/>
              </w:rPr>
            </w:pPr>
          </w:p>
        </w:tc>
      </w:tr>
      <w:tr w:rsidR="00AC5502" w:rsidRPr="00DE0373" w14:paraId="347BABAA" w14:textId="77777777" w:rsidTr="004B0C70">
        <w:tc>
          <w:tcPr>
            <w:tcW w:w="3539" w:type="dxa"/>
            <w:tcBorders>
              <w:top w:val="single" w:sz="4" w:space="0" w:color="auto"/>
              <w:left w:val="single" w:sz="4" w:space="0" w:color="auto"/>
              <w:bottom w:val="single" w:sz="4" w:space="0" w:color="auto"/>
              <w:right w:val="single" w:sz="4" w:space="0" w:color="auto"/>
            </w:tcBorders>
            <w:hideMark/>
          </w:tcPr>
          <w:p w14:paraId="4349F906" w14:textId="77777777" w:rsidR="00AC5502" w:rsidRPr="00DE0373" w:rsidRDefault="00AC5502" w:rsidP="004B0C70">
            <w:pPr>
              <w:rPr>
                <w:rFonts w:eastAsia="Calibri" w:cs="Arial"/>
              </w:rPr>
            </w:pPr>
            <w:r w:rsidRPr="00DE0373">
              <w:rPr>
                <w:rFonts w:eastAsia="Calibri" w:cs="Arial"/>
              </w:rPr>
              <w:t>Review hate crime reporting and support pilot.</w:t>
            </w:r>
          </w:p>
        </w:tc>
        <w:tc>
          <w:tcPr>
            <w:tcW w:w="4961" w:type="dxa"/>
            <w:tcBorders>
              <w:top w:val="single" w:sz="4" w:space="0" w:color="auto"/>
              <w:left w:val="single" w:sz="4" w:space="0" w:color="auto"/>
              <w:bottom w:val="single" w:sz="4" w:space="0" w:color="auto"/>
              <w:right w:val="single" w:sz="4" w:space="0" w:color="auto"/>
            </w:tcBorders>
          </w:tcPr>
          <w:p w14:paraId="07E3213E" w14:textId="77777777" w:rsidR="00AC5502" w:rsidRPr="00DE0373" w:rsidRDefault="00AC5502" w:rsidP="004B0C70">
            <w:pPr>
              <w:rPr>
                <w:rFonts w:eastAsia="Calibri" w:cs="Arial"/>
              </w:rPr>
            </w:pPr>
            <w:r w:rsidRPr="00DE0373">
              <w:rPr>
                <w:rFonts w:eastAsia="Calibri" w:cs="Arial"/>
              </w:rPr>
              <w:t>A hate crime reporting pilot working with forensic wards and the West Yorkshire Police commenced in July 2022 to inform the reporting and support processes. The evaluation and learning are being used to inform the development of Trust-wide policy and approach. Specific hate crime reporting fields within the Trusts incident management and reporting system Datix introduced in September 2023 to enhance data analysis, reporting and support interventions.</w:t>
            </w:r>
          </w:p>
        </w:tc>
        <w:tc>
          <w:tcPr>
            <w:tcW w:w="1418" w:type="dxa"/>
            <w:tcBorders>
              <w:top w:val="single" w:sz="4" w:space="0" w:color="auto"/>
              <w:left w:val="single" w:sz="4" w:space="0" w:color="auto"/>
              <w:bottom w:val="single" w:sz="4" w:space="0" w:color="auto"/>
              <w:right w:val="single" w:sz="4" w:space="0" w:color="auto"/>
            </w:tcBorders>
            <w:hideMark/>
          </w:tcPr>
          <w:p w14:paraId="2F7EF4A2" w14:textId="77777777" w:rsidR="00AC5502" w:rsidRPr="00DE0373" w:rsidRDefault="00AC5502" w:rsidP="004B0C70">
            <w:pPr>
              <w:rPr>
                <w:rFonts w:eastAsia="Calibri" w:cs="Arial"/>
              </w:rPr>
            </w:pPr>
            <w:r w:rsidRPr="00DE0373">
              <w:rPr>
                <w:rFonts w:eastAsia="Calibri" w:cs="Arial"/>
              </w:rPr>
              <w:t>Completed</w:t>
            </w:r>
          </w:p>
        </w:tc>
      </w:tr>
      <w:tr w:rsidR="00AC5502" w:rsidRPr="00DE0373" w14:paraId="264A1CF6" w14:textId="77777777" w:rsidTr="004B0C70">
        <w:tc>
          <w:tcPr>
            <w:tcW w:w="3539" w:type="dxa"/>
            <w:tcBorders>
              <w:top w:val="single" w:sz="4" w:space="0" w:color="auto"/>
              <w:left w:val="single" w:sz="4" w:space="0" w:color="auto"/>
              <w:bottom w:val="single" w:sz="4" w:space="0" w:color="auto"/>
              <w:right w:val="single" w:sz="4" w:space="0" w:color="auto"/>
            </w:tcBorders>
          </w:tcPr>
          <w:p w14:paraId="0775772C" w14:textId="77777777" w:rsidR="00AC5502" w:rsidRPr="00DE0373" w:rsidRDefault="00AC5502" w:rsidP="004B0C70">
            <w:pPr>
              <w:rPr>
                <w:rFonts w:eastAsia="Calibri" w:cs="Arial"/>
              </w:rPr>
            </w:pPr>
            <w:r w:rsidRPr="00DE0373">
              <w:rPr>
                <w:rFonts w:eastAsia="Calibri" w:cs="Arial"/>
              </w:rPr>
              <w:t>Work with members of DaWN staff network to reduce all forms of discrimination, bullying and harassment.</w:t>
            </w:r>
          </w:p>
        </w:tc>
        <w:tc>
          <w:tcPr>
            <w:tcW w:w="4961" w:type="dxa"/>
            <w:tcBorders>
              <w:top w:val="single" w:sz="4" w:space="0" w:color="auto"/>
              <w:left w:val="single" w:sz="4" w:space="0" w:color="auto"/>
              <w:bottom w:val="single" w:sz="4" w:space="0" w:color="auto"/>
              <w:right w:val="single" w:sz="4" w:space="0" w:color="auto"/>
            </w:tcBorders>
          </w:tcPr>
          <w:p w14:paraId="4069815E" w14:textId="77777777" w:rsidR="00AC5502" w:rsidRPr="00DE0373" w:rsidRDefault="00AC5502" w:rsidP="004B0C70">
            <w:pPr>
              <w:rPr>
                <w:rFonts w:eastAsia="Calibri" w:cs="Arial"/>
              </w:rPr>
            </w:pPr>
            <w:r w:rsidRPr="00DE0373">
              <w:rPr>
                <w:rFonts w:eastAsia="Calibri" w:cs="Arial"/>
              </w:rPr>
              <w:t>Active involvement of DaWN chair in our Trust wide Civility and Respect Group and engagement with staff network members to inform and support the development of work in this area.</w:t>
            </w:r>
          </w:p>
        </w:tc>
        <w:tc>
          <w:tcPr>
            <w:tcW w:w="1418" w:type="dxa"/>
            <w:tcBorders>
              <w:top w:val="single" w:sz="4" w:space="0" w:color="auto"/>
              <w:left w:val="single" w:sz="4" w:space="0" w:color="auto"/>
              <w:bottom w:val="single" w:sz="4" w:space="0" w:color="auto"/>
              <w:right w:val="single" w:sz="4" w:space="0" w:color="auto"/>
            </w:tcBorders>
          </w:tcPr>
          <w:p w14:paraId="2A94B756" w14:textId="77777777" w:rsidR="00AC5502" w:rsidRPr="00DE0373" w:rsidRDefault="00AC5502" w:rsidP="004B0C70">
            <w:pPr>
              <w:rPr>
                <w:rFonts w:eastAsia="Calibri" w:cs="Arial"/>
              </w:rPr>
            </w:pPr>
            <w:r w:rsidRPr="00DE0373">
              <w:rPr>
                <w:rFonts w:eastAsia="Calibri" w:cs="Arial"/>
              </w:rPr>
              <w:t>Completed</w:t>
            </w:r>
          </w:p>
        </w:tc>
      </w:tr>
      <w:tr w:rsidR="00AC5502" w:rsidRPr="00DE0373" w14:paraId="63ECC751" w14:textId="77777777" w:rsidTr="004B0C70">
        <w:tc>
          <w:tcPr>
            <w:tcW w:w="3539" w:type="dxa"/>
            <w:tcBorders>
              <w:top w:val="single" w:sz="4" w:space="0" w:color="auto"/>
              <w:left w:val="single" w:sz="4" w:space="0" w:color="auto"/>
              <w:bottom w:val="single" w:sz="4" w:space="0" w:color="auto"/>
              <w:right w:val="single" w:sz="4" w:space="0" w:color="auto"/>
            </w:tcBorders>
          </w:tcPr>
          <w:p w14:paraId="0445BE1F" w14:textId="77777777" w:rsidR="00AC5502" w:rsidRPr="00DE0373" w:rsidRDefault="00AC5502" w:rsidP="004B0C70">
            <w:pPr>
              <w:rPr>
                <w:rFonts w:eastAsia="Calibri" w:cs="Arial"/>
              </w:rPr>
            </w:pPr>
            <w:r w:rsidRPr="00DE0373">
              <w:rPr>
                <w:rFonts w:eastAsia="Calibri" w:cs="Arial"/>
              </w:rPr>
              <w:t>Continue to provide support and guidance to the DaWN staff network, including the provision of protected time for core roles, and ensure the network is included in relevant decision making.</w:t>
            </w:r>
          </w:p>
        </w:tc>
        <w:tc>
          <w:tcPr>
            <w:tcW w:w="4961" w:type="dxa"/>
            <w:tcBorders>
              <w:top w:val="single" w:sz="4" w:space="0" w:color="auto"/>
              <w:left w:val="single" w:sz="4" w:space="0" w:color="auto"/>
              <w:bottom w:val="single" w:sz="4" w:space="0" w:color="auto"/>
              <w:right w:val="single" w:sz="4" w:space="0" w:color="auto"/>
            </w:tcBorders>
          </w:tcPr>
          <w:p w14:paraId="029B59F2" w14:textId="77777777" w:rsidR="00AC5502" w:rsidRPr="00DE0373" w:rsidRDefault="00AC5502" w:rsidP="004B0C70">
            <w:pPr>
              <w:rPr>
                <w:rFonts w:eastAsia="Calibri" w:cs="Arial"/>
              </w:rPr>
            </w:pPr>
            <w:r w:rsidRPr="00DE0373">
              <w:rPr>
                <w:rFonts w:eastAsia="Calibri" w:cs="Arial"/>
              </w:rPr>
              <w:t>Support and development processes implemented and ongoing. The profile and membership of the Trust’s Workforce Disability and Wellbeing Network (DaWN) has increased, and support provided to develop work plans aligned to Trust strategic EDI objectives and regional and national ambitions.</w:t>
            </w:r>
          </w:p>
          <w:p w14:paraId="1CD6529C" w14:textId="77777777" w:rsidR="00AC5502" w:rsidRPr="00DE0373" w:rsidRDefault="00AC5502" w:rsidP="004B0C70">
            <w:pPr>
              <w:rPr>
                <w:rFonts w:eastAsia="Calibri" w:cs="Arial"/>
              </w:rPr>
            </w:pPr>
          </w:p>
        </w:tc>
        <w:tc>
          <w:tcPr>
            <w:tcW w:w="1418" w:type="dxa"/>
            <w:tcBorders>
              <w:top w:val="single" w:sz="4" w:space="0" w:color="auto"/>
              <w:left w:val="single" w:sz="4" w:space="0" w:color="auto"/>
              <w:bottom w:val="single" w:sz="4" w:space="0" w:color="auto"/>
              <w:right w:val="single" w:sz="4" w:space="0" w:color="auto"/>
            </w:tcBorders>
          </w:tcPr>
          <w:p w14:paraId="652BFF44" w14:textId="77777777" w:rsidR="00AC5502" w:rsidRPr="00DE0373" w:rsidRDefault="00AC5502" w:rsidP="004B0C70">
            <w:pPr>
              <w:rPr>
                <w:rFonts w:eastAsia="Calibri" w:cs="Arial"/>
              </w:rPr>
            </w:pPr>
            <w:r w:rsidRPr="00DE0373">
              <w:rPr>
                <w:rFonts w:eastAsia="Calibri" w:cs="Arial"/>
              </w:rPr>
              <w:t>Completed</w:t>
            </w:r>
          </w:p>
        </w:tc>
      </w:tr>
      <w:tr w:rsidR="00AC5502" w:rsidRPr="00DE0373" w14:paraId="5562511D" w14:textId="77777777" w:rsidTr="004B0C70">
        <w:tc>
          <w:tcPr>
            <w:tcW w:w="3539" w:type="dxa"/>
            <w:tcBorders>
              <w:top w:val="single" w:sz="4" w:space="0" w:color="auto"/>
              <w:left w:val="single" w:sz="4" w:space="0" w:color="auto"/>
              <w:bottom w:val="single" w:sz="4" w:space="0" w:color="auto"/>
              <w:right w:val="single" w:sz="4" w:space="0" w:color="auto"/>
            </w:tcBorders>
          </w:tcPr>
          <w:p w14:paraId="0DA752AF" w14:textId="77777777" w:rsidR="00AC5502" w:rsidRPr="00DE0373" w:rsidRDefault="00AC5502" w:rsidP="004B0C70">
            <w:pPr>
              <w:rPr>
                <w:rFonts w:eastAsia="Calibri" w:cs="Arial"/>
              </w:rPr>
            </w:pPr>
            <w:r w:rsidRPr="00DE0373">
              <w:rPr>
                <w:rFonts w:eastAsia="Calibri" w:cs="Arial"/>
              </w:rPr>
              <w:t>Undertake an improvement review and refresh of procurement and finance reasonable adjustment related processes.</w:t>
            </w:r>
          </w:p>
        </w:tc>
        <w:tc>
          <w:tcPr>
            <w:tcW w:w="4961" w:type="dxa"/>
            <w:tcBorders>
              <w:top w:val="single" w:sz="4" w:space="0" w:color="auto"/>
              <w:left w:val="single" w:sz="4" w:space="0" w:color="auto"/>
              <w:bottom w:val="single" w:sz="4" w:space="0" w:color="auto"/>
              <w:right w:val="single" w:sz="4" w:space="0" w:color="auto"/>
            </w:tcBorders>
          </w:tcPr>
          <w:p w14:paraId="671BB866" w14:textId="77777777" w:rsidR="00AC5502" w:rsidRPr="00DE0373" w:rsidRDefault="00AC5502" w:rsidP="004B0C70">
            <w:pPr>
              <w:rPr>
                <w:rFonts w:eastAsia="Calibri" w:cs="Arial"/>
              </w:rPr>
            </w:pPr>
            <w:r w:rsidRPr="00DE0373">
              <w:rPr>
                <w:rFonts w:eastAsia="Calibri" w:cs="Arial"/>
              </w:rPr>
              <w:t>Improvement review in progress led by EDI and Improvement Teams. Revised procurement process and guidance in development and to be implemented by February 2024 following testing phase.</w:t>
            </w:r>
          </w:p>
        </w:tc>
        <w:tc>
          <w:tcPr>
            <w:tcW w:w="1418" w:type="dxa"/>
            <w:tcBorders>
              <w:top w:val="single" w:sz="4" w:space="0" w:color="auto"/>
              <w:left w:val="single" w:sz="4" w:space="0" w:color="auto"/>
              <w:bottom w:val="single" w:sz="4" w:space="0" w:color="auto"/>
              <w:right w:val="single" w:sz="4" w:space="0" w:color="auto"/>
            </w:tcBorders>
          </w:tcPr>
          <w:p w14:paraId="2D7DFD11" w14:textId="77777777" w:rsidR="00AC5502" w:rsidRPr="00DE0373" w:rsidRDefault="00AC5502" w:rsidP="004B0C70">
            <w:pPr>
              <w:rPr>
                <w:rFonts w:eastAsia="Calibri" w:cs="Arial"/>
              </w:rPr>
            </w:pPr>
            <w:r w:rsidRPr="00DE0373">
              <w:rPr>
                <w:rFonts w:eastAsia="Calibri" w:cs="Arial"/>
              </w:rPr>
              <w:t>In progress</w:t>
            </w:r>
          </w:p>
        </w:tc>
      </w:tr>
    </w:tbl>
    <w:p w14:paraId="4F4DF780" w14:textId="23D7774C" w:rsidR="006431B4" w:rsidRPr="00DE0373" w:rsidRDefault="006431B4" w:rsidP="006431B4">
      <w:pPr>
        <w:spacing w:line="276" w:lineRule="auto"/>
        <w:rPr>
          <w:rFonts w:cs="Arial"/>
        </w:rPr>
      </w:pPr>
      <w:r w:rsidRPr="00DE0373">
        <w:rPr>
          <w:rFonts w:cs="Arial"/>
        </w:rPr>
        <w:t>.</w:t>
      </w:r>
    </w:p>
    <w:p w14:paraId="56304FFD" w14:textId="77777777" w:rsidR="000B05A4" w:rsidRDefault="000B05A4" w:rsidP="006431B4">
      <w:pPr>
        <w:spacing w:line="276" w:lineRule="auto"/>
        <w:rPr>
          <w:szCs w:val="22"/>
        </w:rPr>
      </w:pPr>
    </w:p>
    <w:p w14:paraId="4FEF7157" w14:textId="77777777" w:rsidR="000B05A4" w:rsidRDefault="000B05A4" w:rsidP="006431B4">
      <w:pPr>
        <w:spacing w:line="276" w:lineRule="auto"/>
        <w:rPr>
          <w:szCs w:val="22"/>
        </w:rPr>
      </w:pPr>
    </w:p>
    <w:p w14:paraId="0D4E50E3" w14:textId="574D817E" w:rsidR="000B05A4" w:rsidRDefault="000B05A4" w:rsidP="006431B4">
      <w:pPr>
        <w:spacing w:line="276" w:lineRule="auto"/>
        <w:rPr>
          <w:szCs w:val="22"/>
        </w:rPr>
        <w:sectPr w:rsidR="000B05A4" w:rsidSect="003A2FA3">
          <w:footerReference w:type="default" r:id="rId13"/>
          <w:headerReference w:type="first" r:id="rId14"/>
          <w:footerReference w:type="first" r:id="rId15"/>
          <w:pgSz w:w="11906" w:h="16838" w:code="9"/>
          <w:pgMar w:top="1134" w:right="567" w:bottom="1440" w:left="851" w:header="902" w:footer="289" w:gutter="0"/>
          <w:cols w:space="708"/>
          <w:titlePg/>
          <w:docGrid w:linePitch="360"/>
        </w:sectPr>
      </w:pPr>
      <w:r>
        <w:rPr>
          <w:szCs w:val="22"/>
        </w:rPr>
        <w:t xml:space="preserve">The WDES action plan has been update and is detailed below in Appendix one. </w:t>
      </w:r>
    </w:p>
    <w:p w14:paraId="7D1CBC98" w14:textId="77777777" w:rsidR="006431B4" w:rsidRDefault="006431B4" w:rsidP="006431B4">
      <w:pPr>
        <w:spacing w:line="276" w:lineRule="auto"/>
        <w:rPr>
          <w:szCs w:val="22"/>
        </w:rPr>
      </w:pPr>
    </w:p>
    <w:p w14:paraId="798313C4" w14:textId="71723ACB" w:rsidR="004218DB" w:rsidRPr="003A2FA3" w:rsidRDefault="00BE555A" w:rsidP="00BE555A">
      <w:pPr>
        <w:spacing w:line="276" w:lineRule="auto"/>
        <w:jc w:val="right"/>
        <w:rPr>
          <w:b/>
          <w:bCs/>
          <w:szCs w:val="22"/>
        </w:rPr>
      </w:pPr>
      <w:r w:rsidRPr="003A2FA3">
        <w:rPr>
          <w:b/>
          <w:bCs/>
          <w:szCs w:val="22"/>
        </w:rPr>
        <w:t>Appendix 1</w:t>
      </w:r>
    </w:p>
    <w:p w14:paraId="1A333C12" w14:textId="77777777" w:rsidR="004218DB" w:rsidRDefault="004218DB" w:rsidP="00F534DD">
      <w:pPr>
        <w:spacing w:line="276" w:lineRule="auto"/>
        <w:rPr>
          <w:szCs w:val="22"/>
        </w:rPr>
      </w:pPr>
    </w:p>
    <w:p w14:paraId="6A8313A3" w14:textId="77777777" w:rsidR="003647C3" w:rsidRDefault="003647C3" w:rsidP="00D5174D">
      <w:pPr>
        <w:spacing w:after="200" w:line="276" w:lineRule="auto"/>
        <w:rPr>
          <w:szCs w:val="22"/>
        </w:rPr>
      </w:pPr>
    </w:p>
    <w:p w14:paraId="6B58CEED" w14:textId="77777777" w:rsidR="00051396" w:rsidRDefault="00051396" w:rsidP="00D5174D">
      <w:pPr>
        <w:spacing w:after="200" w:line="276" w:lineRule="auto"/>
        <w:rPr>
          <w:szCs w:val="22"/>
        </w:rPr>
      </w:pPr>
    </w:p>
    <w:p w14:paraId="621DB0D0" w14:textId="72238A63" w:rsidR="00051396" w:rsidRPr="00051396" w:rsidRDefault="00051396" w:rsidP="00051396">
      <w:pPr>
        <w:spacing w:after="200" w:line="276" w:lineRule="auto"/>
        <w:rPr>
          <w:rFonts w:eastAsiaTheme="minorHAnsi" w:cs="Arial"/>
          <w:b/>
        </w:rPr>
      </w:pPr>
      <w:bookmarkStart w:id="0" w:name="_Hlk146640285"/>
      <w:r w:rsidRPr="00051396">
        <w:rPr>
          <w:rFonts w:eastAsiaTheme="minorHAnsi" w:cs="Arial"/>
          <w:b/>
        </w:rPr>
        <w:t xml:space="preserve">Workforce Disability Equality Standard (WDES)- Action Plan </w:t>
      </w:r>
      <w:r w:rsidR="00A52C48">
        <w:rPr>
          <w:rFonts w:eastAsiaTheme="minorHAnsi" w:cs="Arial"/>
          <w:b/>
        </w:rPr>
        <w:t xml:space="preserve">October </w:t>
      </w:r>
      <w:r w:rsidRPr="00051396">
        <w:rPr>
          <w:rFonts w:eastAsiaTheme="minorHAnsi" w:cs="Arial"/>
          <w:b/>
        </w:rPr>
        <w:t>202</w:t>
      </w:r>
      <w:r w:rsidR="000B05A4">
        <w:rPr>
          <w:rFonts w:eastAsiaTheme="minorHAnsi" w:cs="Arial"/>
          <w:b/>
        </w:rPr>
        <w:t>4</w:t>
      </w:r>
      <w:r w:rsidRPr="00051396">
        <w:rPr>
          <w:rFonts w:eastAsiaTheme="minorHAnsi" w:cs="Arial"/>
          <w:b/>
        </w:rPr>
        <w:t>-</w:t>
      </w:r>
      <w:r w:rsidR="00A52C48">
        <w:rPr>
          <w:rFonts w:eastAsiaTheme="minorHAnsi" w:cs="Arial"/>
          <w:b/>
        </w:rPr>
        <w:t xml:space="preserve"> September </w:t>
      </w:r>
      <w:r w:rsidRPr="00051396">
        <w:rPr>
          <w:rFonts w:eastAsiaTheme="minorHAnsi" w:cs="Arial"/>
          <w:b/>
        </w:rPr>
        <w:t>202</w:t>
      </w:r>
      <w:r w:rsidR="000B05A4">
        <w:rPr>
          <w:rFonts w:eastAsiaTheme="minorHAnsi" w:cs="Arial"/>
          <w:b/>
        </w:rPr>
        <w:t>5</w:t>
      </w:r>
    </w:p>
    <w:p w14:paraId="2814FE9F" w14:textId="77777777" w:rsidR="00051396" w:rsidRPr="00051396" w:rsidRDefault="00051396" w:rsidP="00051396">
      <w:pPr>
        <w:spacing w:after="200" w:line="276" w:lineRule="auto"/>
        <w:rPr>
          <w:rFonts w:eastAsiaTheme="minorHAnsi" w:cs="Arial"/>
          <w:b/>
        </w:rPr>
      </w:pPr>
      <w:r w:rsidRPr="00051396">
        <w:rPr>
          <w:rFonts w:eastAsiaTheme="minorHAnsi" w:cs="Arial"/>
          <w:b/>
        </w:rPr>
        <w:t>Introduction</w:t>
      </w:r>
    </w:p>
    <w:p w14:paraId="4878D22F" w14:textId="77777777" w:rsidR="00051396" w:rsidRPr="00051396" w:rsidRDefault="00051396" w:rsidP="00051396">
      <w:pPr>
        <w:spacing w:after="200" w:line="276" w:lineRule="auto"/>
        <w:rPr>
          <w:rFonts w:eastAsiaTheme="minorHAnsi" w:cs="Arial"/>
          <w:bCs/>
        </w:rPr>
      </w:pPr>
      <w:r w:rsidRPr="00051396">
        <w:rPr>
          <w:rFonts w:eastAsiaTheme="minorHAnsi" w:cs="Arial"/>
          <w:bCs/>
        </w:rPr>
        <w:t>We are committed to meeting the requirements of the Workforce Disability Equality Standard and this is our fifth publication against this standard.</w:t>
      </w:r>
    </w:p>
    <w:p w14:paraId="5E24264C" w14:textId="65A967C8" w:rsidR="00051396" w:rsidRPr="00051396" w:rsidRDefault="00051396" w:rsidP="00051396">
      <w:pPr>
        <w:spacing w:after="200" w:line="276" w:lineRule="auto"/>
        <w:rPr>
          <w:rFonts w:eastAsiaTheme="minorHAnsi" w:cs="Arial"/>
          <w:bCs/>
          <w:i/>
          <w:iCs/>
        </w:rPr>
      </w:pPr>
      <w:r w:rsidRPr="00051396">
        <w:rPr>
          <w:rFonts w:eastAsiaTheme="minorHAnsi" w:cs="Arial"/>
          <w:bCs/>
        </w:rPr>
        <w:t>The Trust submitted its workforce data against the national standard, to the national team in May 202</w:t>
      </w:r>
      <w:r w:rsidR="000B05A4">
        <w:rPr>
          <w:rFonts w:eastAsiaTheme="minorHAnsi" w:cs="Arial"/>
          <w:bCs/>
        </w:rPr>
        <w:t>4</w:t>
      </w:r>
      <w:r w:rsidRPr="00051396">
        <w:rPr>
          <w:rFonts w:eastAsiaTheme="minorHAnsi" w:cs="Arial"/>
          <w:bCs/>
        </w:rPr>
        <w:t xml:space="preserve">, as per our contractual requirements. </w:t>
      </w:r>
    </w:p>
    <w:p w14:paraId="2BDE078E" w14:textId="77777777" w:rsidR="00051396" w:rsidRPr="00051396" w:rsidRDefault="00051396" w:rsidP="00051396">
      <w:pPr>
        <w:spacing w:after="200" w:line="276" w:lineRule="auto"/>
        <w:rPr>
          <w:rFonts w:eastAsiaTheme="minorHAnsi" w:cs="Arial"/>
          <w:bCs/>
        </w:rPr>
      </w:pPr>
      <w:r w:rsidRPr="00051396">
        <w:rPr>
          <w:rFonts w:eastAsiaTheme="minorHAnsi" w:cs="Arial"/>
          <w:bCs/>
        </w:rPr>
        <w:t>There are a total of ten indicators that make up the WDES, split across Workforce Data, National NHS Staff Survey and Trust Board Representation. These are designed to help us track our progress in tackling inequalities in the workplace.</w:t>
      </w:r>
    </w:p>
    <w:p w14:paraId="191EEEDB" w14:textId="6F53C394" w:rsidR="00051396" w:rsidRPr="00051396" w:rsidRDefault="00051396" w:rsidP="00051396">
      <w:pPr>
        <w:spacing w:after="200" w:line="276" w:lineRule="auto"/>
        <w:rPr>
          <w:rFonts w:eastAsiaTheme="minorHAnsi" w:cs="Arial"/>
          <w:bCs/>
        </w:rPr>
      </w:pPr>
      <w:r w:rsidRPr="00051396">
        <w:rPr>
          <w:rFonts w:eastAsiaTheme="minorHAnsi" w:cs="Arial"/>
          <w:bCs/>
        </w:rPr>
        <w:t xml:space="preserve">This action plan has been developed to reflect targeted focus, with the aim of bringing about positive change across the Trust in terms of disability equality. In developing this action plan, consideration has been taken regarding disability equality activity taking place at national, regional and place base level and our Trusts </w:t>
      </w:r>
      <w:hyperlink r:id="rId16" w:history="1">
        <w:r w:rsidRPr="00051396">
          <w:rPr>
            <w:rFonts w:eastAsiaTheme="minorHAnsi" w:cs="Arial"/>
            <w:color w:val="0000FF" w:themeColor="hyperlink"/>
            <w:u w:val="single"/>
            <w:shd w:val="clear" w:color="auto" w:fill="FFFFFF"/>
          </w:rPr>
          <w:t>LYPFT People Plan 2021-2024</w:t>
        </w:r>
      </w:hyperlink>
      <w:r w:rsidRPr="00051396">
        <w:rPr>
          <w:rFonts w:eastAsiaTheme="minorHAnsi" w:cs="Arial"/>
          <w:color w:val="0000FF" w:themeColor="hyperlink"/>
          <w:u w:val="single"/>
          <w:shd w:val="clear" w:color="auto" w:fill="FFFFFF"/>
        </w:rPr>
        <w:t>.</w:t>
      </w:r>
    </w:p>
    <w:p w14:paraId="52BE0260" w14:textId="77777777" w:rsidR="00051396" w:rsidRPr="00051396" w:rsidRDefault="00051396" w:rsidP="00051396">
      <w:pPr>
        <w:spacing w:after="200" w:line="276" w:lineRule="auto"/>
        <w:rPr>
          <w:rFonts w:eastAsiaTheme="minorHAnsi" w:cs="Arial"/>
          <w:shd w:val="clear" w:color="auto" w:fill="FFFFFF"/>
        </w:rPr>
      </w:pPr>
      <w:r w:rsidRPr="00051396">
        <w:rPr>
          <w:rFonts w:eastAsiaTheme="minorHAnsi" w:cs="Arial"/>
          <w:shd w:val="clear" w:color="auto" w:fill="FFFFFF"/>
        </w:rPr>
        <w:t>The Trust’s Disability and Wellbeing Network (DaWN) has been involved in the development of this action plan which is grouped into three key themes to reflect the areas where the data is showing us, we need to focus attention.</w:t>
      </w:r>
    </w:p>
    <w:bookmarkEnd w:id="0"/>
    <w:p w14:paraId="3EFFD53A" w14:textId="77777777" w:rsidR="00051396" w:rsidRPr="00051396" w:rsidRDefault="00051396" w:rsidP="00051396">
      <w:pPr>
        <w:spacing w:after="200" w:line="276" w:lineRule="auto"/>
        <w:rPr>
          <w:rFonts w:eastAsiaTheme="minorHAnsi" w:cs="Arial"/>
          <w:b/>
          <w:bCs/>
          <w:shd w:val="clear" w:color="auto" w:fill="FFFFFF"/>
        </w:rPr>
      </w:pPr>
      <w:r w:rsidRPr="00051396">
        <w:rPr>
          <w:rFonts w:eastAsiaTheme="minorHAnsi" w:cs="Arial"/>
          <w:b/>
          <w:bCs/>
          <w:shd w:val="clear" w:color="auto" w:fill="FFFFFF"/>
        </w:rPr>
        <w:t>Monitoring and Evaluation</w:t>
      </w:r>
    </w:p>
    <w:p w14:paraId="77A3DEA5" w14:textId="2D82B57A" w:rsidR="00051396" w:rsidRDefault="00051396" w:rsidP="00051396">
      <w:pPr>
        <w:spacing w:after="200" w:line="276" w:lineRule="auto"/>
        <w:rPr>
          <w:rFonts w:eastAsiaTheme="minorHAnsi" w:cs="Arial"/>
        </w:rPr>
      </w:pPr>
      <w:bookmarkStart w:id="1" w:name="_Hlk146642839"/>
      <w:r w:rsidRPr="00051396">
        <w:rPr>
          <w:rFonts w:eastAsiaTheme="minorHAnsi" w:cs="Arial"/>
        </w:rPr>
        <w:t>The Trust’s DaWN staff network will adopt this action plan as a basis for their work programme and will play a key role in monitoring and influencing the actions going forward. The Chair of the network will work closely with the Head of Diversity and Inclusion and will attend the Trust</w:t>
      </w:r>
      <w:r w:rsidR="00071D79">
        <w:rPr>
          <w:rFonts w:eastAsiaTheme="minorHAnsi" w:cs="Arial"/>
        </w:rPr>
        <w:t>’</w:t>
      </w:r>
      <w:r w:rsidRPr="00051396">
        <w:rPr>
          <w:rFonts w:eastAsiaTheme="minorHAnsi" w:cs="Arial"/>
        </w:rPr>
        <w:t>s Equality and Diversity Group where regular updates on the actions will be provided. Regular updates on the action plan will also be provided to the Trust Workforce Committee and assurance provided to the Board twice a year</w:t>
      </w:r>
      <w:bookmarkEnd w:id="1"/>
      <w:r w:rsidRPr="00051396">
        <w:rPr>
          <w:rFonts w:eastAsiaTheme="minorHAnsi" w:cs="Arial"/>
        </w:rPr>
        <w:t>.</w:t>
      </w:r>
    </w:p>
    <w:p w14:paraId="6D036899" w14:textId="77777777" w:rsidR="000B05A4" w:rsidRPr="00051396" w:rsidRDefault="000B05A4" w:rsidP="00051396">
      <w:pPr>
        <w:spacing w:after="200" w:line="276" w:lineRule="auto"/>
        <w:rPr>
          <w:rFonts w:eastAsiaTheme="minorHAnsi" w:cs="Arial"/>
        </w:rPr>
      </w:pPr>
    </w:p>
    <w:p w14:paraId="64A15235" w14:textId="77777777" w:rsidR="00051396" w:rsidRPr="00051396" w:rsidRDefault="00051396" w:rsidP="00051396">
      <w:pPr>
        <w:spacing w:after="200" w:line="276" w:lineRule="auto"/>
        <w:rPr>
          <w:rFonts w:eastAsiaTheme="minorHAnsi" w:cs="Arial"/>
          <w:b/>
          <w:bCs/>
        </w:rPr>
      </w:pPr>
      <w:r w:rsidRPr="00051396">
        <w:rPr>
          <w:rFonts w:eastAsiaTheme="minorHAnsi" w:cs="Arial"/>
          <w:b/>
          <w:bCs/>
        </w:rPr>
        <w:lastRenderedPageBreak/>
        <w:t>Workforce Disability Equality Standard (WDES) Metrics</w:t>
      </w:r>
    </w:p>
    <w:tbl>
      <w:tblPr>
        <w:tblStyle w:val="TableGrid3"/>
        <w:tblW w:w="14170" w:type="dxa"/>
        <w:tblLook w:val="04A0" w:firstRow="1" w:lastRow="0" w:firstColumn="1" w:lastColumn="0" w:noHBand="0" w:noVBand="1"/>
      </w:tblPr>
      <w:tblGrid>
        <w:gridCol w:w="1271"/>
        <w:gridCol w:w="12899"/>
      </w:tblGrid>
      <w:tr w:rsidR="00051396" w:rsidRPr="00051396" w14:paraId="63C4287F" w14:textId="77777777" w:rsidTr="004B0C70">
        <w:tc>
          <w:tcPr>
            <w:tcW w:w="1271" w:type="dxa"/>
          </w:tcPr>
          <w:p w14:paraId="1BDB953F" w14:textId="77777777" w:rsidR="00051396" w:rsidRPr="00051396" w:rsidRDefault="00051396" w:rsidP="00051396">
            <w:pPr>
              <w:rPr>
                <w:rFonts w:cs="Arial"/>
                <w:b/>
                <w:bCs/>
              </w:rPr>
            </w:pPr>
            <w:r w:rsidRPr="00051396">
              <w:rPr>
                <w:rFonts w:cs="Arial"/>
                <w:b/>
                <w:bCs/>
              </w:rPr>
              <w:t>Metric 1</w:t>
            </w:r>
          </w:p>
        </w:tc>
        <w:tc>
          <w:tcPr>
            <w:tcW w:w="12899" w:type="dxa"/>
          </w:tcPr>
          <w:p w14:paraId="51F94B22" w14:textId="77777777" w:rsidR="00051396" w:rsidRPr="00051396" w:rsidRDefault="00051396" w:rsidP="00051396">
            <w:pPr>
              <w:rPr>
                <w:rFonts w:cs="Arial"/>
              </w:rPr>
            </w:pPr>
            <w:r w:rsidRPr="00051396">
              <w:rPr>
                <w:rFonts w:cs="Arial"/>
              </w:rPr>
              <w:t>Percentage of disabled staff in each of the Agenda for Change bands 1-9, medical &amp; dental subgroups and very senior managers (VSM), including executive board members compared with the percentage of staff in the overall workforce.</w:t>
            </w:r>
          </w:p>
        </w:tc>
      </w:tr>
      <w:tr w:rsidR="00051396" w:rsidRPr="00051396" w14:paraId="683F221C" w14:textId="77777777" w:rsidTr="004B0C70">
        <w:tc>
          <w:tcPr>
            <w:tcW w:w="1271" w:type="dxa"/>
          </w:tcPr>
          <w:p w14:paraId="77528579" w14:textId="77777777" w:rsidR="00051396" w:rsidRPr="00051396" w:rsidRDefault="00051396" w:rsidP="00051396">
            <w:pPr>
              <w:rPr>
                <w:rFonts w:cs="Arial"/>
                <w:b/>
                <w:bCs/>
              </w:rPr>
            </w:pPr>
            <w:r w:rsidRPr="00051396">
              <w:rPr>
                <w:rFonts w:cs="Arial"/>
                <w:b/>
                <w:bCs/>
              </w:rPr>
              <w:t>Metric 2</w:t>
            </w:r>
          </w:p>
        </w:tc>
        <w:tc>
          <w:tcPr>
            <w:tcW w:w="12899" w:type="dxa"/>
          </w:tcPr>
          <w:p w14:paraId="33D75E08" w14:textId="77777777" w:rsidR="00051396" w:rsidRPr="00051396" w:rsidRDefault="00051396" w:rsidP="00051396">
            <w:pPr>
              <w:rPr>
                <w:rFonts w:cs="Arial"/>
              </w:rPr>
            </w:pPr>
            <w:r w:rsidRPr="00051396">
              <w:rPr>
                <w:rFonts w:cs="Arial"/>
              </w:rPr>
              <w:t>Relative likelihood of disabled staff being appointed from shortlisting across all posts.</w:t>
            </w:r>
          </w:p>
        </w:tc>
      </w:tr>
      <w:tr w:rsidR="00051396" w:rsidRPr="00051396" w14:paraId="2A4DE451" w14:textId="77777777" w:rsidTr="004B0C70">
        <w:tc>
          <w:tcPr>
            <w:tcW w:w="1271" w:type="dxa"/>
          </w:tcPr>
          <w:p w14:paraId="590C77C5" w14:textId="77777777" w:rsidR="00051396" w:rsidRPr="00051396" w:rsidRDefault="00051396" w:rsidP="00051396">
            <w:pPr>
              <w:rPr>
                <w:rFonts w:cs="Arial"/>
                <w:b/>
                <w:bCs/>
              </w:rPr>
            </w:pPr>
            <w:r w:rsidRPr="00051396">
              <w:rPr>
                <w:rFonts w:cs="Arial"/>
                <w:b/>
                <w:bCs/>
              </w:rPr>
              <w:t>Metric 3</w:t>
            </w:r>
          </w:p>
        </w:tc>
        <w:tc>
          <w:tcPr>
            <w:tcW w:w="12899" w:type="dxa"/>
          </w:tcPr>
          <w:p w14:paraId="4E5B941C" w14:textId="77777777" w:rsidR="00051396" w:rsidRPr="00051396" w:rsidRDefault="00051396" w:rsidP="00051396">
            <w:pPr>
              <w:rPr>
                <w:rFonts w:cs="Arial"/>
              </w:rPr>
            </w:pPr>
            <w:r w:rsidRPr="00051396">
              <w:rPr>
                <w:rFonts w:cs="Arial"/>
              </w:rPr>
              <w:t>Relative likelihood of disabled staff entering the formal capability procedure (due to performance and not-ill health).</w:t>
            </w:r>
          </w:p>
        </w:tc>
      </w:tr>
      <w:tr w:rsidR="00051396" w:rsidRPr="00051396" w14:paraId="7D462E98" w14:textId="77777777" w:rsidTr="004B0C70">
        <w:tc>
          <w:tcPr>
            <w:tcW w:w="14170" w:type="dxa"/>
            <w:gridSpan w:val="2"/>
          </w:tcPr>
          <w:p w14:paraId="093CD1B8" w14:textId="77777777" w:rsidR="00051396" w:rsidRPr="00051396" w:rsidRDefault="00051396" w:rsidP="00051396">
            <w:pPr>
              <w:rPr>
                <w:rFonts w:cs="Arial"/>
                <w:b/>
                <w:bCs/>
              </w:rPr>
            </w:pPr>
            <w:r w:rsidRPr="00051396">
              <w:rPr>
                <w:rFonts w:cs="Arial"/>
                <w:b/>
                <w:bCs/>
              </w:rPr>
              <w:t>National Staff Survey Responses- Metrics 4 to 9</w:t>
            </w:r>
          </w:p>
        </w:tc>
      </w:tr>
      <w:tr w:rsidR="00051396" w:rsidRPr="00051396" w14:paraId="5359CFC6" w14:textId="77777777" w:rsidTr="004B0C70">
        <w:tc>
          <w:tcPr>
            <w:tcW w:w="1271" w:type="dxa"/>
          </w:tcPr>
          <w:p w14:paraId="08768A9D" w14:textId="77777777" w:rsidR="00051396" w:rsidRPr="00051396" w:rsidRDefault="00051396" w:rsidP="00051396">
            <w:pPr>
              <w:rPr>
                <w:rFonts w:cs="Arial"/>
                <w:b/>
                <w:bCs/>
              </w:rPr>
            </w:pPr>
            <w:r w:rsidRPr="00051396">
              <w:rPr>
                <w:rFonts w:cs="Arial"/>
                <w:b/>
                <w:bCs/>
              </w:rPr>
              <w:t>Metric 4</w:t>
            </w:r>
          </w:p>
        </w:tc>
        <w:tc>
          <w:tcPr>
            <w:tcW w:w="12899" w:type="dxa"/>
          </w:tcPr>
          <w:p w14:paraId="46B05338" w14:textId="0A78CDE2" w:rsidR="00051396" w:rsidRPr="00051396" w:rsidRDefault="00051396" w:rsidP="00051396">
            <w:pPr>
              <w:rPr>
                <w:rFonts w:cs="Arial"/>
                <w:b/>
                <w:bCs/>
              </w:rPr>
            </w:pPr>
            <w:r w:rsidRPr="00051396">
              <w:rPr>
                <w:rFonts w:cs="Arial"/>
                <w:b/>
                <w:bCs/>
              </w:rPr>
              <w:t xml:space="preserve">4a) </w:t>
            </w:r>
            <w:r w:rsidRPr="00051396">
              <w:rPr>
                <w:rFonts w:cs="Arial"/>
              </w:rPr>
              <w:t>Percentage of disabled staff experiencing harassment, bullying or abuse from patients, relatives or the public</w:t>
            </w:r>
          </w:p>
          <w:p w14:paraId="75756F4C" w14:textId="77777777" w:rsidR="00051396" w:rsidRPr="00051396" w:rsidRDefault="00051396" w:rsidP="00051396">
            <w:pPr>
              <w:rPr>
                <w:rFonts w:cs="Arial"/>
              </w:rPr>
            </w:pPr>
            <w:r w:rsidRPr="00051396">
              <w:rPr>
                <w:rFonts w:cs="Arial"/>
                <w:b/>
                <w:bCs/>
              </w:rPr>
              <w:t xml:space="preserve">      </w:t>
            </w:r>
            <w:r w:rsidRPr="00051396">
              <w:rPr>
                <w:rFonts w:cs="Arial"/>
              </w:rPr>
              <w:t>Percentage of disabled staff experiencing harassment, bullying or abuse from their manager</w:t>
            </w:r>
          </w:p>
          <w:p w14:paraId="353B9C4A" w14:textId="77777777" w:rsidR="00051396" w:rsidRPr="00051396" w:rsidRDefault="00051396" w:rsidP="00051396">
            <w:pPr>
              <w:rPr>
                <w:rFonts w:cs="Arial"/>
                <w:b/>
                <w:bCs/>
              </w:rPr>
            </w:pPr>
            <w:r w:rsidRPr="00051396">
              <w:rPr>
                <w:rFonts w:cs="Arial"/>
              </w:rPr>
              <w:t xml:space="preserve">      Percentage of disabled staff experiencing harassment, bullying or abuse from colleagues</w:t>
            </w:r>
          </w:p>
          <w:p w14:paraId="4AE78917" w14:textId="77777777" w:rsidR="00051396" w:rsidRPr="00051396" w:rsidRDefault="00051396" w:rsidP="00051396">
            <w:pPr>
              <w:rPr>
                <w:rFonts w:cs="Arial"/>
              </w:rPr>
            </w:pPr>
            <w:r w:rsidRPr="00051396">
              <w:rPr>
                <w:rFonts w:cs="Arial"/>
                <w:b/>
                <w:bCs/>
              </w:rPr>
              <w:t xml:space="preserve">4b) </w:t>
            </w:r>
            <w:r w:rsidRPr="00051396">
              <w:rPr>
                <w:rFonts w:cs="Arial"/>
              </w:rPr>
              <w:t>Percentage of Disabled staff compared to non-disabled staff saying that the last time they experienced</w:t>
            </w:r>
          </w:p>
          <w:p w14:paraId="2F8318C3" w14:textId="77777777" w:rsidR="00051396" w:rsidRPr="00051396" w:rsidRDefault="00051396" w:rsidP="00051396">
            <w:pPr>
              <w:rPr>
                <w:rFonts w:cs="Arial"/>
                <w:b/>
                <w:bCs/>
              </w:rPr>
            </w:pPr>
            <w:r w:rsidRPr="00051396">
              <w:rPr>
                <w:rFonts w:cs="Arial"/>
              </w:rPr>
              <w:t xml:space="preserve">      harassment, bullying or abuse at work, they or a colleague reported it.</w:t>
            </w:r>
          </w:p>
        </w:tc>
      </w:tr>
      <w:tr w:rsidR="00051396" w:rsidRPr="00051396" w14:paraId="32F56ECA" w14:textId="77777777" w:rsidTr="004B0C70">
        <w:tc>
          <w:tcPr>
            <w:tcW w:w="1271" w:type="dxa"/>
          </w:tcPr>
          <w:p w14:paraId="3784BE17" w14:textId="77777777" w:rsidR="00051396" w:rsidRPr="00051396" w:rsidRDefault="00051396" w:rsidP="00051396">
            <w:pPr>
              <w:rPr>
                <w:rFonts w:cs="Arial"/>
                <w:b/>
                <w:bCs/>
              </w:rPr>
            </w:pPr>
            <w:r w:rsidRPr="00051396">
              <w:rPr>
                <w:rFonts w:cs="Arial"/>
                <w:b/>
                <w:bCs/>
              </w:rPr>
              <w:t>Metric 5</w:t>
            </w:r>
          </w:p>
        </w:tc>
        <w:tc>
          <w:tcPr>
            <w:tcW w:w="12899" w:type="dxa"/>
          </w:tcPr>
          <w:p w14:paraId="7A7D460E" w14:textId="77777777" w:rsidR="00051396" w:rsidRPr="00051396" w:rsidRDefault="00051396" w:rsidP="00051396">
            <w:pPr>
              <w:rPr>
                <w:rFonts w:cs="Arial"/>
              </w:rPr>
            </w:pPr>
            <w:r w:rsidRPr="00051396">
              <w:rPr>
                <w:rFonts w:cs="Arial"/>
              </w:rPr>
              <w:t>Percentage of disabled staff who believe the Trust provides equal opportunities for career progression or promotion</w:t>
            </w:r>
          </w:p>
        </w:tc>
      </w:tr>
      <w:tr w:rsidR="00051396" w:rsidRPr="00051396" w14:paraId="0B036E74" w14:textId="77777777" w:rsidTr="004B0C70">
        <w:tc>
          <w:tcPr>
            <w:tcW w:w="1271" w:type="dxa"/>
          </w:tcPr>
          <w:p w14:paraId="0CA7FDD9" w14:textId="77777777" w:rsidR="00051396" w:rsidRPr="00051396" w:rsidRDefault="00051396" w:rsidP="00051396">
            <w:pPr>
              <w:rPr>
                <w:rFonts w:cs="Arial"/>
                <w:b/>
                <w:bCs/>
              </w:rPr>
            </w:pPr>
            <w:r w:rsidRPr="00051396">
              <w:rPr>
                <w:rFonts w:cs="Arial"/>
                <w:b/>
                <w:bCs/>
              </w:rPr>
              <w:t>Metric 6</w:t>
            </w:r>
          </w:p>
        </w:tc>
        <w:tc>
          <w:tcPr>
            <w:tcW w:w="12899" w:type="dxa"/>
          </w:tcPr>
          <w:p w14:paraId="23C225BB" w14:textId="77777777" w:rsidR="00051396" w:rsidRPr="00051396" w:rsidRDefault="00051396" w:rsidP="00051396">
            <w:pPr>
              <w:rPr>
                <w:rFonts w:cs="Arial"/>
              </w:rPr>
            </w:pPr>
            <w:r w:rsidRPr="00051396">
              <w:rPr>
                <w:rFonts w:cs="Arial"/>
              </w:rPr>
              <w:t>Percentage of disabled staff who say they have felt pressure from their manager to come to work, despite not</w:t>
            </w:r>
          </w:p>
          <w:p w14:paraId="6A2E3DBD" w14:textId="77777777" w:rsidR="00051396" w:rsidRPr="00051396" w:rsidRDefault="00051396" w:rsidP="00051396">
            <w:pPr>
              <w:rPr>
                <w:rFonts w:cs="Arial"/>
              </w:rPr>
            </w:pPr>
            <w:r w:rsidRPr="00051396">
              <w:rPr>
                <w:rFonts w:cs="Arial"/>
              </w:rPr>
              <w:t>feeling well enough to perform their duties.</w:t>
            </w:r>
          </w:p>
        </w:tc>
      </w:tr>
      <w:tr w:rsidR="00051396" w:rsidRPr="00051396" w14:paraId="6ACE3A9E" w14:textId="77777777" w:rsidTr="004B0C70">
        <w:tc>
          <w:tcPr>
            <w:tcW w:w="1271" w:type="dxa"/>
          </w:tcPr>
          <w:p w14:paraId="1DB1161C" w14:textId="77777777" w:rsidR="00051396" w:rsidRPr="00051396" w:rsidRDefault="00051396" w:rsidP="00051396">
            <w:pPr>
              <w:rPr>
                <w:rFonts w:cs="Arial"/>
                <w:b/>
                <w:bCs/>
              </w:rPr>
            </w:pPr>
            <w:r w:rsidRPr="00051396">
              <w:rPr>
                <w:rFonts w:cs="Arial"/>
                <w:b/>
                <w:bCs/>
              </w:rPr>
              <w:t>Metric 7</w:t>
            </w:r>
          </w:p>
        </w:tc>
        <w:tc>
          <w:tcPr>
            <w:tcW w:w="12899" w:type="dxa"/>
          </w:tcPr>
          <w:p w14:paraId="2DA9EBF7" w14:textId="77777777" w:rsidR="00051396" w:rsidRPr="00051396" w:rsidRDefault="00051396" w:rsidP="00051396">
            <w:pPr>
              <w:rPr>
                <w:rFonts w:cs="Arial"/>
              </w:rPr>
            </w:pPr>
            <w:r w:rsidRPr="00051396">
              <w:rPr>
                <w:rFonts w:cs="Arial"/>
              </w:rPr>
              <w:t>Percentage of disabled staff saying they are satisfied with the extent to which their organisation values their work.</w:t>
            </w:r>
          </w:p>
        </w:tc>
      </w:tr>
      <w:tr w:rsidR="00051396" w:rsidRPr="00051396" w14:paraId="7A1C552D" w14:textId="77777777" w:rsidTr="004B0C70">
        <w:tc>
          <w:tcPr>
            <w:tcW w:w="1271" w:type="dxa"/>
          </w:tcPr>
          <w:p w14:paraId="04ABC214" w14:textId="77777777" w:rsidR="00051396" w:rsidRPr="00051396" w:rsidRDefault="00051396" w:rsidP="00051396">
            <w:pPr>
              <w:rPr>
                <w:rFonts w:cs="Arial"/>
                <w:b/>
                <w:bCs/>
              </w:rPr>
            </w:pPr>
            <w:r w:rsidRPr="00051396">
              <w:rPr>
                <w:rFonts w:cs="Arial"/>
                <w:b/>
                <w:bCs/>
              </w:rPr>
              <w:t>Metric 8</w:t>
            </w:r>
          </w:p>
        </w:tc>
        <w:tc>
          <w:tcPr>
            <w:tcW w:w="12899" w:type="dxa"/>
          </w:tcPr>
          <w:p w14:paraId="4C412459" w14:textId="77777777" w:rsidR="00051396" w:rsidRPr="00051396" w:rsidRDefault="00051396" w:rsidP="00051396">
            <w:pPr>
              <w:rPr>
                <w:rFonts w:cs="Arial"/>
              </w:rPr>
            </w:pPr>
            <w:r w:rsidRPr="00051396">
              <w:rPr>
                <w:rFonts w:cs="Arial"/>
              </w:rPr>
              <w:t>Percentage of disabled staff saying that their employer has made adequate adjustment(s) to enable them to carry out their work.</w:t>
            </w:r>
          </w:p>
        </w:tc>
      </w:tr>
      <w:tr w:rsidR="00051396" w:rsidRPr="00051396" w14:paraId="7AEEEE5B" w14:textId="77777777" w:rsidTr="004B0C70">
        <w:tc>
          <w:tcPr>
            <w:tcW w:w="1271" w:type="dxa"/>
          </w:tcPr>
          <w:p w14:paraId="2BFCA04D" w14:textId="77777777" w:rsidR="00051396" w:rsidRPr="00051396" w:rsidRDefault="00051396" w:rsidP="00051396">
            <w:pPr>
              <w:rPr>
                <w:rFonts w:cs="Arial"/>
                <w:b/>
                <w:bCs/>
              </w:rPr>
            </w:pPr>
            <w:r w:rsidRPr="00051396">
              <w:rPr>
                <w:rFonts w:cs="Arial"/>
                <w:b/>
                <w:bCs/>
              </w:rPr>
              <w:t>Metric 9</w:t>
            </w:r>
          </w:p>
        </w:tc>
        <w:tc>
          <w:tcPr>
            <w:tcW w:w="12899" w:type="dxa"/>
          </w:tcPr>
          <w:p w14:paraId="159E74AE" w14:textId="77777777" w:rsidR="00051396" w:rsidRPr="00051396" w:rsidRDefault="00051396" w:rsidP="00051396">
            <w:pPr>
              <w:rPr>
                <w:rFonts w:cs="Arial"/>
              </w:rPr>
            </w:pPr>
            <w:r w:rsidRPr="00051396">
              <w:rPr>
                <w:rFonts w:cs="Arial"/>
              </w:rPr>
              <w:t>Comparison of the engagement scores for disabled and non-disabled staff.</w:t>
            </w:r>
          </w:p>
        </w:tc>
      </w:tr>
      <w:tr w:rsidR="00051396" w:rsidRPr="00051396" w14:paraId="34DF8AD8" w14:textId="77777777" w:rsidTr="004B0C70">
        <w:tc>
          <w:tcPr>
            <w:tcW w:w="1271" w:type="dxa"/>
          </w:tcPr>
          <w:p w14:paraId="3B3B0D46" w14:textId="77777777" w:rsidR="00051396" w:rsidRPr="00051396" w:rsidRDefault="00051396" w:rsidP="00051396">
            <w:pPr>
              <w:rPr>
                <w:rFonts w:cs="Arial"/>
                <w:b/>
                <w:bCs/>
              </w:rPr>
            </w:pPr>
            <w:r w:rsidRPr="00051396">
              <w:rPr>
                <w:rFonts w:cs="Arial"/>
                <w:b/>
                <w:bCs/>
              </w:rPr>
              <w:t>Metric 10</w:t>
            </w:r>
          </w:p>
        </w:tc>
        <w:tc>
          <w:tcPr>
            <w:tcW w:w="12899" w:type="dxa"/>
          </w:tcPr>
          <w:p w14:paraId="637905C7" w14:textId="77777777" w:rsidR="00051396" w:rsidRPr="00051396" w:rsidRDefault="00051396" w:rsidP="00051396">
            <w:pPr>
              <w:rPr>
                <w:rFonts w:cs="Arial"/>
              </w:rPr>
            </w:pPr>
            <w:r w:rsidRPr="00051396">
              <w:rPr>
                <w:rFonts w:cs="Arial"/>
              </w:rPr>
              <w:t>Comparison of disabled and non-disabled members of the board (voting membership/ Exec membership) against the overall workforce.</w:t>
            </w:r>
          </w:p>
        </w:tc>
      </w:tr>
    </w:tbl>
    <w:p w14:paraId="7EDE5B5A" w14:textId="77777777" w:rsidR="00051396" w:rsidRPr="00051396" w:rsidRDefault="00051396" w:rsidP="00051396">
      <w:pPr>
        <w:spacing w:after="200" w:line="276" w:lineRule="auto"/>
        <w:rPr>
          <w:rFonts w:eastAsiaTheme="minorHAnsi" w:cs="Arial"/>
          <w:b/>
          <w:bCs/>
        </w:rPr>
      </w:pPr>
    </w:p>
    <w:p w14:paraId="01D13CD6" w14:textId="146FE2F9" w:rsidR="00051396" w:rsidRPr="00051396" w:rsidRDefault="00051396" w:rsidP="00051396">
      <w:pPr>
        <w:spacing w:after="200" w:line="276" w:lineRule="auto"/>
        <w:rPr>
          <w:rFonts w:eastAsiaTheme="minorHAnsi" w:cs="Arial"/>
          <w:b/>
          <w:bCs/>
        </w:rPr>
      </w:pPr>
      <w:r w:rsidRPr="00051396">
        <w:rPr>
          <w:rFonts w:eastAsiaTheme="minorHAnsi" w:cs="Arial"/>
          <w:b/>
          <w:bCs/>
        </w:rPr>
        <w:t>WDES Action Plan 202</w:t>
      </w:r>
      <w:r w:rsidR="000B05A4">
        <w:rPr>
          <w:rFonts w:eastAsiaTheme="minorHAnsi" w:cs="Arial"/>
          <w:b/>
          <w:bCs/>
        </w:rPr>
        <w:t>4</w:t>
      </w:r>
      <w:r w:rsidRPr="00051396">
        <w:rPr>
          <w:rFonts w:eastAsiaTheme="minorHAnsi" w:cs="Arial"/>
          <w:b/>
          <w:bCs/>
        </w:rPr>
        <w:t>-202</w:t>
      </w:r>
      <w:r w:rsidR="000B05A4">
        <w:rPr>
          <w:rFonts w:eastAsiaTheme="minorHAnsi" w:cs="Arial"/>
          <w:b/>
          <w:bCs/>
        </w:rPr>
        <w:t>5</w:t>
      </w:r>
      <w:r w:rsidRPr="00051396">
        <w:rPr>
          <w:rFonts w:eastAsiaTheme="minorHAnsi" w:cs="Arial"/>
          <w:b/>
          <w:bCs/>
        </w:rPr>
        <w:t>- Key Themes</w:t>
      </w:r>
    </w:p>
    <w:p w14:paraId="53178C1F" w14:textId="77777777" w:rsidR="00051396" w:rsidRPr="00051396" w:rsidRDefault="00051396" w:rsidP="00051396">
      <w:pPr>
        <w:spacing w:after="200" w:line="276" w:lineRule="auto"/>
        <w:jc w:val="center"/>
        <w:rPr>
          <w:rFonts w:eastAsiaTheme="minorHAnsi" w:cs="Arial"/>
        </w:rPr>
      </w:pPr>
      <w:r w:rsidRPr="00051396">
        <w:rPr>
          <w:rFonts w:eastAsiaTheme="minorHAnsi" w:cs="Arial"/>
          <w:noProof/>
          <w:lang w:eastAsia="en-GB"/>
        </w:rPr>
        <w:lastRenderedPageBreak/>
        <mc:AlternateContent>
          <mc:Choice Requires="wps">
            <w:drawing>
              <wp:anchor distT="0" distB="0" distL="114300" distR="114300" simplePos="0" relativeHeight="251663360" behindDoc="0" locked="0" layoutInCell="1" allowOverlap="1" wp14:anchorId="6D414AF5" wp14:editId="7CE58413">
                <wp:simplePos x="0" y="0"/>
                <wp:positionH relativeFrom="margin">
                  <wp:posOffset>-171450</wp:posOffset>
                </wp:positionH>
                <wp:positionV relativeFrom="paragraph">
                  <wp:posOffset>545465</wp:posOffset>
                </wp:positionV>
                <wp:extent cx="1816100" cy="1809750"/>
                <wp:effectExtent l="0" t="0" r="12700" b="19050"/>
                <wp:wrapNone/>
                <wp:docPr id="1152063155" name="Text Box 1152063155"/>
                <wp:cNvGraphicFramePr/>
                <a:graphic xmlns:a="http://schemas.openxmlformats.org/drawingml/2006/main">
                  <a:graphicData uri="http://schemas.microsoft.com/office/word/2010/wordprocessingShape">
                    <wps:wsp>
                      <wps:cNvSpPr txBox="1"/>
                      <wps:spPr>
                        <a:xfrm>
                          <a:off x="0" y="0"/>
                          <a:ext cx="1816100" cy="1809750"/>
                        </a:xfrm>
                        <a:prstGeom prst="rect">
                          <a:avLst/>
                        </a:prstGeom>
                        <a:solidFill>
                          <a:sysClr val="window" lastClr="FFFFFF"/>
                        </a:solidFill>
                        <a:ln w="15875">
                          <a:solidFill>
                            <a:srgbClr val="0070C0"/>
                          </a:solidFill>
                        </a:ln>
                        <a:effectLst/>
                      </wps:spPr>
                      <wps:txbx>
                        <w:txbxContent>
                          <w:p w14:paraId="10AED0B9" w14:textId="77777777" w:rsidR="00051396" w:rsidRDefault="00051396" w:rsidP="00051396">
                            <w:pPr>
                              <w:rPr>
                                <w:rFonts w:cs="Arial"/>
                                <w:sz w:val="32"/>
                                <w:szCs w:val="32"/>
                              </w:rPr>
                            </w:pPr>
                          </w:p>
                          <w:p w14:paraId="1D89F365" w14:textId="77777777" w:rsidR="00051396" w:rsidRPr="00627FDC" w:rsidRDefault="00051396" w:rsidP="00051396">
                            <w:pPr>
                              <w:rPr>
                                <w:rFonts w:cs="Arial"/>
                              </w:rPr>
                            </w:pPr>
                            <w:r w:rsidRPr="00627FDC">
                              <w:rPr>
                                <w:rFonts w:cs="Arial"/>
                              </w:rPr>
                              <w:t>Valuing our people to improve the care and health outcomes for our service users, carers and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14AF5" id="Text Box 1152063155" o:spid="_x0000_s1029" type="#_x0000_t202" style="position:absolute;left:0;text-align:left;margin-left:-13.5pt;margin-top:42.95pt;width:143pt;height:14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" fillcolor="window" strokecolor="#0070c0" strokeweight="1.25pt">
                <v:textbox>
                  <w:txbxContent>
                    <w:p w14:paraId="10AED0B9" w14:textId="77777777" w:rsidR="00051396" w:rsidRDefault="00051396" w:rsidP="00051396">
                      <w:pPr>
                        <w:rPr>
                          <w:rFonts w:cs="Arial"/>
                          <w:sz w:val="32"/>
                          <w:szCs w:val="32"/>
                        </w:rPr>
                      </w:pPr>
                    </w:p>
                    <w:p w14:paraId="1D89F365" w14:textId="77777777" w:rsidR="00051396" w:rsidRPr="00627FDC" w:rsidRDefault="00051396" w:rsidP="00051396">
                      <w:pPr>
                        <w:rPr>
                          <w:rFonts w:cs="Arial"/>
                        </w:rPr>
                      </w:pPr>
                      <w:r w:rsidRPr="00627FDC">
                        <w:rPr>
                          <w:rFonts w:cs="Arial"/>
                        </w:rPr>
                        <w:t>Valuing our people to improve the care and health outcomes for our service users, carers and communities.</w:t>
                      </w:r>
                    </w:p>
                  </w:txbxContent>
                </v:textbox>
                <w10:wrap anchorx="margin"/>
              </v:shape>
            </w:pict>
          </mc:Fallback>
        </mc:AlternateContent>
      </w:r>
      <w:r w:rsidRPr="00051396">
        <w:rPr>
          <w:rFonts w:eastAsiaTheme="minorHAnsi" w:cs="Arial"/>
          <w:noProof/>
          <w:lang w:eastAsia="en-GB"/>
        </w:rPr>
        <mc:AlternateContent>
          <mc:Choice Requires="wps">
            <w:drawing>
              <wp:anchor distT="0" distB="0" distL="114300" distR="114300" simplePos="0" relativeHeight="251660288" behindDoc="0" locked="0" layoutInCell="1" allowOverlap="1" wp14:anchorId="0C08BC79" wp14:editId="46333344">
                <wp:simplePos x="0" y="0"/>
                <wp:positionH relativeFrom="column">
                  <wp:posOffset>2165350</wp:posOffset>
                </wp:positionH>
                <wp:positionV relativeFrom="paragraph">
                  <wp:posOffset>424815</wp:posOffset>
                </wp:positionV>
                <wp:extent cx="215900" cy="4127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15900" cy="412750"/>
                        </a:xfrm>
                        <a:prstGeom prst="rect">
                          <a:avLst/>
                        </a:prstGeom>
                        <a:solidFill>
                          <a:sysClr val="window" lastClr="FFFFFF"/>
                        </a:solidFill>
                        <a:ln w="6350">
                          <a:noFill/>
                        </a:ln>
                        <a:effectLst/>
                      </wps:spPr>
                      <wps:txbx>
                        <w:txbxContent>
                          <w:p w14:paraId="504B2748" w14:textId="77777777" w:rsidR="00051396" w:rsidRPr="00527702" w:rsidRDefault="00051396" w:rsidP="00051396">
                            <w:pPr>
                              <w:rPr>
                                <w:rFonts w:cs="Arial"/>
                                <w:sz w:val="44"/>
                                <w:szCs w:val="44"/>
                              </w:rPr>
                            </w:pPr>
                            <w:r w:rsidRPr="00527702">
                              <w:rPr>
                                <w:rFonts w:cs="Arial"/>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8BC79" id="Text Box 2" o:spid="_x0000_s1030" type="#_x0000_t202" style="position:absolute;left:0;text-align:left;margin-left:170.5pt;margin-top:33.45pt;width:17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" fillcolor="window" stroked="f" strokeweight=".5pt">
                <v:textbox>
                  <w:txbxContent>
                    <w:p w14:paraId="504B2748" w14:textId="77777777" w:rsidR="00051396" w:rsidRPr="00527702" w:rsidRDefault="00051396" w:rsidP="00051396">
                      <w:pPr>
                        <w:rPr>
                          <w:rFonts w:cs="Arial"/>
                          <w:sz w:val="44"/>
                          <w:szCs w:val="44"/>
                        </w:rPr>
                      </w:pPr>
                      <w:r w:rsidRPr="00527702">
                        <w:rPr>
                          <w:rFonts w:cs="Arial"/>
                          <w:sz w:val="44"/>
                          <w:szCs w:val="44"/>
                        </w:rPr>
                        <w:t>1</w:t>
                      </w:r>
                    </w:p>
                  </w:txbxContent>
                </v:textbox>
              </v:shape>
            </w:pict>
          </mc:Fallback>
        </mc:AlternateContent>
      </w:r>
      <w:r w:rsidRPr="00051396">
        <w:rPr>
          <w:rFonts w:eastAsiaTheme="minorHAnsi" w:cs="Arial"/>
          <w:noProof/>
          <w:lang w:eastAsia="en-GB"/>
        </w:rPr>
        <mc:AlternateContent>
          <mc:Choice Requires="wps">
            <w:drawing>
              <wp:anchor distT="0" distB="0" distL="114300" distR="114300" simplePos="0" relativeHeight="251661312" behindDoc="0" locked="0" layoutInCell="1" allowOverlap="1" wp14:anchorId="35429238" wp14:editId="55F03201">
                <wp:simplePos x="0" y="0"/>
                <wp:positionH relativeFrom="column">
                  <wp:posOffset>2406650</wp:posOffset>
                </wp:positionH>
                <wp:positionV relativeFrom="paragraph">
                  <wp:posOffset>1318260</wp:posOffset>
                </wp:positionV>
                <wp:extent cx="298450" cy="457200"/>
                <wp:effectExtent l="0" t="0" r="6350" b="0"/>
                <wp:wrapNone/>
                <wp:docPr id="65022240" name="Text Box 65022240"/>
                <wp:cNvGraphicFramePr/>
                <a:graphic xmlns:a="http://schemas.openxmlformats.org/drawingml/2006/main">
                  <a:graphicData uri="http://schemas.microsoft.com/office/word/2010/wordprocessingShape">
                    <wps:wsp>
                      <wps:cNvSpPr txBox="1"/>
                      <wps:spPr>
                        <a:xfrm>
                          <a:off x="0" y="0"/>
                          <a:ext cx="298450" cy="457200"/>
                        </a:xfrm>
                        <a:prstGeom prst="rect">
                          <a:avLst/>
                        </a:prstGeom>
                        <a:solidFill>
                          <a:sysClr val="window" lastClr="FFFFFF"/>
                        </a:solidFill>
                        <a:ln w="6350">
                          <a:noFill/>
                        </a:ln>
                        <a:effectLst/>
                      </wps:spPr>
                      <wps:txbx>
                        <w:txbxContent>
                          <w:p w14:paraId="6E2EDAD5" w14:textId="77777777" w:rsidR="00051396" w:rsidRPr="00527702" w:rsidRDefault="00051396" w:rsidP="00051396">
                            <w:pPr>
                              <w:rPr>
                                <w:rFonts w:cs="Arial"/>
                                <w:sz w:val="44"/>
                                <w:szCs w:val="44"/>
                              </w:rPr>
                            </w:pPr>
                            <w:r>
                              <w:rPr>
                                <w:rFonts w:cs="Arial"/>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29238" id="Text Box 65022240" o:spid="_x0000_s1031" type="#_x0000_t202" style="position:absolute;left:0;text-align:left;margin-left:189.5pt;margin-top:103.8pt;width:23.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" fillcolor="window" stroked="f" strokeweight=".5pt">
                <v:textbox>
                  <w:txbxContent>
                    <w:p w14:paraId="6E2EDAD5" w14:textId="77777777" w:rsidR="00051396" w:rsidRPr="00527702" w:rsidRDefault="00051396" w:rsidP="00051396">
                      <w:pPr>
                        <w:rPr>
                          <w:rFonts w:cs="Arial"/>
                          <w:sz w:val="44"/>
                          <w:szCs w:val="44"/>
                        </w:rPr>
                      </w:pPr>
                      <w:r>
                        <w:rPr>
                          <w:rFonts w:cs="Arial"/>
                          <w:sz w:val="44"/>
                          <w:szCs w:val="44"/>
                        </w:rPr>
                        <w:t>2</w:t>
                      </w:r>
                    </w:p>
                  </w:txbxContent>
                </v:textbox>
              </v:shape>
            </w:pict>
          </mc:Fallback>
        </mc:AlternateContent>
      </w:r>
      <w:r w:rsidRPr="00051396">
        <w:rPr>
          <w:rFonts w:eastAsiaTheme="minorHAnsi" w:cs="Arial"/>
          <w:noProof/>
          <w:lang w:eastAsia="en-GB"/>
        </w:rPr>
        <mc:AlternateContent>
          <mc:Choice Requires="wps">
            <w:drawing>
              <wp:anchor distT="0" distB="0" distL="114300" distR="114300" simplePos="0" relativeHeight="251662336" behindDoc="0" locked="0" layoutInCell="1" allowOverlap="1" wp14:anchorId="7ABB2B06" wp14:editId="796E7D23">
                <wp:simplePos x="0" y="0"/>
                <wp:positionH relativeFrom="column">
                  <wp:posOffset>2235200</wp:posOffset>
                </wp:positionH>
                <wp:positionV relativeFrom="paragraph">
                  <wp:posOffset>2232660</wp:posOffset>
                </wp:positionV>
                <wp:extent cx="298450" cy="5143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298450" cy="514350"/>
                        </a:xfrm>
                        <a:prstGeom prst="rect">
                          <a:avLst/>
                        </a:prstGeom>
                        <a:solidFill>
                          <a:sysClr val="window" lastClr="FFFFFF"/>
                        </a:solidFill>
                        <a:ln w="6350">
                          <a:noFill/>
                        </a:ln>
                        <a:effectLst/>
                      </wps:spPr>
                      <wps:txbx>
                        <w:txbxContent>
                          <w:p w14:paraId="168E09E1" w14:textId="77777777" w:rsidR="00051396" w:rsidRPr="00527702" w:rsidRDefault="00051396" w:rsidP="00051396">
                            <w:pPr>
                              <w:rPr>
                                <w:rFonts w:cs="Arial"/>
                                <w:sz w:val="44"/>
                                <w:szCs w:val="44"/>
                              </w:rPr>
                            </w:pPr>
                            <w:r>
                              <w:rPr>
                                <w:rFonts w:cs="Arial"/>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BB2B06" id="Text Box 7" o:spid="_x0000_s1032" type="#_x0000_t202" style="position:absolute;left:0;text-align:left;margin-left:176pt;margin-top:175.8pt;width:23.5pt;height:4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" fillcolor="window" stroked="f" strokeweight=".5pt">
                <v:textbox>
                  <w:txbxContent>
                    <w:p w14:paraId="168E09E1" w14:textId="77777777" w:rsidR="00051396" w:rsidRPr="00527702" w:rsidRDefault="00051396" w:rsidP="00051396">
                      <w:pPr>
                        <w:rPr>
                          <w:rFonts w:cs="Arial"/>
                          <w:sz w:val="44"/>
                          <w:szCs w:val="44"/>
                        </w:rPr>
                      </w:pPr>
                      <w:r>
                        <w:rPr>
                          <w:rFonts w:cs="Arial"/>
                          <w:sz w:val="44"/>
                          <w:szCs w:val="44"/>
                        </w:rPr>
                        <w:t>3</w:t>
                      </w:r>
                    </w:p>
                  </w:txbxContent>
                </v:textbox>
              </v:shape>
            </w:pict>
          </mc:Fallback>
        </mc:AlternateContent>
      </w:r>
      <w:r w:rsidRPr="00051396">
        <w:rPr>
          <w:rFonts w:eastAsiaTheme="minorHAnsi" w:cs="Arial"/>
        </w:rPr>
        <w:t xml:space="preserve">                    </w:t>
      </w:r>
      <w:r w:rsidRPr="00051396">
        <w:rPr>
          <w:rFonts w:eastAsiaTheme="minorHAnsi" w:cs="Arial"/>
          <w:noProof/>
          <w:lang w:eastAsia="en-GB"/>
        </w:rPr>
        <w:drawing>
          <wp:inline distT="0" distB="0" distL="0" distR="0" wp14:anchorId="1EC3A094" wp14:editId="762FD464">
            <wp:extent cx="5772150" cy="3092450"/>
            <wp:effectExtent l="0" t="0" r="0" b="0"/>
            <wp:docPr id="869440355" name="Diagram 8694403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F9FE048" w14:textId="6F750226" w:rsidR="00051396" w:rsidRDefault="00051396" w:rsidP="00F81B50">
      <w:pPr>
        <w:spacing w:after="200" w:line="276" w:lineRule="auto"/>
        <w:rPr>
          <w:rFonts w:eastAsiaTheme="minorHAnsi" w:cs="Arial"/>
        </w:rPr>
      </w:pPr>
    </w:p>
    <w:p w14:paraId="6F531A5C" w14:textId="77777777" w:rsidR="004F7139" w:rsidRDefault="004F7139" w:rsidP="00F81B50">
      <w:pPr>
        <w:spacing w:after="200" w:line="276" w:lineRule="auto"/>
        <w:rPr>
          <w:rFonts w:eastAsiaTheme="minorHAnsi" w:cs="Arial"/>
        </w:rPr>
      </w:pPr>
    </w:p>
    <w:p w14:paraId="2ED86B4B" w14:textId="77777777" w:rsidR="004F7139" w:rsidRDefault="004F7139" w:rsidP="00F81B50">
      <w:pPr>
        <w:spacing w:after="200" w:line="276" w:lineRule="auto"/>
        <w:rPr>
          <w:rFonts w:eastAsiaTheme="minorHAnsi" w:cs="Arial"/>
        </w:rPr>
      </w:pPr>
    </w:p>
    <w:p w14:paraId="66DE216D" w14:textId="77777777" w:rsidR="004F7139" w:rsidRDefault="004F7139" w:rsidP="00F81B50">
      <w:pPr>
        <w:spacing w:after="200" w:line="276" w:lineRule="auto"/>
        <w:rPr>
          <w:rFonts w:eastAsiaTheme="minorHAnsi" w:cs="Arial"/>
        </w:rPr>
      </w:pPr>
    </w:p>
    <w:p w14:paraId="2D81BED3" w14:textId="77777777" w:rsidR="004F7139" w:rsidRPr="00051396" w:rsidRDefault="004F7139" w:rsidP="00F81B50">
      <w:pPr>
        <w:spacing w:after="200" w:line="276" w:lineRule="auto"/>
        <w:rPr>
          <w:rFonts w:eastAsiaTheme="minorHAnsi" w:cs="Arial"/>
        </w:rPr>
      </w:pPr>
    </w:p>
    <w:p w14:paraId="536BFC34" w14:textId="77777777" w:rsidR="00051396" w:rsidRPr="00051396" w:rsidRDefault="00051396" w:rsidP="00051396">
      <w:pPr>
        <w:spacing w:after="200" w:line="276" w:lineRule="auto"/>
        <w:jc w:val="center"/>
        <w:rPr>
          <w:rFonts w:eastAsiaTheme="minorHAnsi" w:cs="Arial"/>
        </w:rPr>
      </w:pPr>
    </w:p>
    <w:p w14:paraId="70B72CC1" w14:textId="77777777" w:rsidR="00051396" w:rsidRPr="00051396" w:rsidRDefault="00051396" w:rsidP="00051396">
      <w:pPr>
        <w:spacing w:after="200" w:line="276" w:lineRule="auto"/>
        <w:jc w:val="center"/>
        <w:rPr>
          <w:rFonts w:eastAsiaTheme="minorHAnsi" w:cs="Arial"/>
        </w:rPr>
      </w:pPr>
    </w:p>
    <w:p w14:paraId="3E3CEE76" w14:textId="77777777" w:rsidR="00051396" w:rsidRPr="00051396" w:rsidRDefault="00051396" w:rsidP="00051396">
      <w:pPr>
        <w:spacing w:after="200" w:line="276" w:lineRule="auto"/>
        <w:jc w:val="center"/>
        <w:rPr>
          <w:rFonts w:eastAsiaTheme="minorHAnsi" w:cs="Arial"/>
        </w:rPr>
      </w:pPr>
    </w:p>
    <w:p w14:paraId="4294F291" w14:textId="77777777" w:rsidR="00051396" w:rsidRPr="00051396" w:rsidRDefault="00051396" w:rsidP="00051396">
      <w:pPr>
        <w:spacing w:after="200" w:line="276" w:lineRule="auto"/>
        <w:jc w:val="center"/>
        <w:rPr>
          <w:rFonts w:eastAsiaTheme="minorHAnsi" w:cs="Arial"/>
        </w:rPr>
      </w:pPr>
    </w:p>
    <w:p w14:paraId="672A8C60" w14:textId="77777777" w:rsidR="00051396" w:rsidRPr="00051396" w:rsidRDefault="00051396" w:rsidP="00051396">
      <w:pPr>
        <w:spacing w:after="200" w:line="276" w:lineRule="auto"/>
        <w:jc w:val="center"/>
        <w:rPr>
          <w:rFonts w:eastAsiaTheme="minorHAnsi" w:cs="Arial"/>
        </w:rPr>
      </w:pPr>
    </w:p>
    <w:tbl>
      <w:tblPr>
        <w:tblStyle w:val="TableGrid3"/>
        <w:tblW w:w="13887" w:type="dxa"/>
        <w:tblLayout w:type="fixed"/>
        <w:tblLook w:val="04A0" w:firstRow="1" w:lastRow="0" w:firstColumn="1" w:lastColumn="0" w:noHBand="0" w:noVBand="1"/>
      </w:tblPr>
      <w:tblGrid>
        <w:gridCol w:w="550"/>
        <w:gridCol w:w="2847"/>
        <w:gridCol w:w="4962"/>
        <w:gridCol w:w="3118"/>
        <w:gridCol w:w="2410"/>
      </w:tblGrid>
      <w:tr w:rsidR="00946795" w:rsidRPr="0077443A" w14:paraId="4566D426" w14:textId="77777777" w:rsidTr="00DF43D1">
        <w:tc>
          <w:tcPr>
            <w:tcW w:w="13887" w:type="dxa"/>
            <w:gridSpan w:val="5"/>
            <w:shd w:val="clear" w:color="auto" w:fill="C6D9F1" w:themeFill="text2" w:themeFillTint="33"/>
          </w:tcPr>
          <w:p w14:paraId="56FF9EB1" w14:textId="589F7391" w:rsidR="00946795" w:rsidRPr="0077443A" w:rsidRDefault="00B2286D" w:rsidP="00B2286D">
            <w:pPr>
              <w:pStyle w:val="ListParagraph0"/>
              <w:numPr>
                <w:ilvl w:val="0"/>
                <w:numId w:val="43"/>
              </w:numPr>
              <w:rPr>
                <w:rFonts w:cs="Arial"/>
                <w:b/>
              </w:rPr>
            </w:pPr>
            <w:r w:rsidRPr="0077443A">
              <w:rPr>
                <w:rFonts w:cs="Arial"/>
                <w:b/>
              </w:rPr>
              <w:lastRenderedPageBreak/>
              <w:t>Representation, Recruitment and Retention- WDES Metrics 1</w:t>
            </w:r>
            <w:r w:rsidR="00DF16D9" w:rsidRPr="0077443A">
              <w:rPr>
                <w:rFonts w:cs="Arial"/>
                <w:b/>
              </w:rPr>
              <w:t xml:space="preserve"> </w:t>
            </w:r>
            <w:r w:rsidRPr="0077443A">
              <w:rPr>
                <w:rFonts w:cs="Arial"/>
                <w:b/>
              </w:rPr>
              <w:t>and 10</w:t>
            </w:r>
          </w:p>
          <w:p w14:paraId="7D33C057" w14:textId="6F16318F" w:rsidR="004F7139" w:rsidRPr="0077443A" w:rsidRDefault="004F7139" w:rsidP="004F7139">
            <w:pPr>
              <w:pStyle w:val="ListParagraph0"/>
              <w:rPr>
                <w:rFonts w:cs="Arial"/>
                <w:b/>
              </w:rPr>
            </w:pPr>
          </w:p>
        </w:tc>
      </w:tr>
      <w:tr w:rsidR="00051396" w:rsidRPr="0077443A" w14:paraId="683A5EE6" w14:textId="77777777" w:rsidTr="004D62BE">
        <w:tc>
          <w:tcPr>
            <w:tcW w:w="3397" w:type="dxa"/>
            <w:gridSpan w:val="2"/>
            <w:shd w:val="clear" w:color="auto" w:fill="C6D9F1" w:themeFill="text2" w:themeFillTint="33"/>
          </w:tcPr>
          <w:p w14:paraId="665827B3" w14:textId="77777777" w:rsidR="00051396" w:rsidRPr="0077443A" w:rsidRDefault="00051396" w:rsidP="00051396">
            <w:pPr>
              <w:jc w:val="center"/>
              <w:rPr>
                <w:rFonts w:cs="Arial"/>
                <w:b/>
              </w:rPr>
            </w:pPr>
            <w:r w:rsidRPr="0077443A">
              <w:rPr>
                <w:rFonts w:cs="Arial"/>
                <w:b/>
              </w:rPr>
              <w:t>Our Aim</w:t>
            </w:r>
          </w:p>
        </w:tc>
        <w:tc>
          <w:tcPr>
            <w:tcW w:w="4962" w:type="dxa"/>
            <w:shd w:val="clear" w:color="auto" w:fill="C6D9F1" w:themeFill="text2" w:themeFillTint="33"/>
          </w:tcPr>
          <w:p w14:paraId="5EF7DC49" w14:textId="77777777" w:rsidR="00051396" w:rsidRPr="0077443A" w:rsidRDefault="00051396" w:rsidP="00051396">
            <w:pPr>
              <w:jc w:val="center"/>
              <w:rPr>
                <w:rFonts w:cs="Arial"/>
                <w:b/>
              </w:rPr>
            </w:pPr>
            <w:r w:rsidRPr="0077443A">
              <w:rPr>
                <w:rFonts w:cs="Arial"/>
                <w:b/>
              </w:rPr>
              <w:t>Action</w:t>
            </w:r>
          </w:p>
        </w:tc>
        <w:tc>
          <w:tcPr>
            <w:tcW w:w="3118" w:type="dxa"/>
            <w:shd w:val="clear" w:color="auto" w:fill="C6D9F1" w:themeFill="text2" w:themeFillTint="33"/>
          </w:tcPr>
          <w:p w14:paraId="65CAC9B0" w14:textId="77777777" w:rsidR="00051396" w:rsidRPr="0077443A" w:rsidRDefault="00051396" w:rsidP="00051396">
            <w:pPr>
              <w:rPr>
                <w:rFonts w:cs="Arial"/>
                <w:b/>
              </w:rPr>
            </w:pPr>
            <w:r w:rsidRPr="0077443A">
              <w:rPr>
                <w:rFonts w:cs="Arial"/>
                <w:b/>
              </w:rPr>
              <w:t>Responsibility/Contributors</w:t>
            </w:r>
          </w:p>
        </w:tc>
        <w:tc>
          <w:tcPr>
            <w:tcW w:w="2410" w:type="dxa"/>
            <w:shd w:val="clear" w:color="auto" w:fill="C6D9F1" w:themeFill="text2" w:themeFillTint="33"/>
          </w:tcPr>
          <w:p w14:paraId="2FA857BB" w14:textId="77777777" w:rsidR="00051396" w:rsidRPr="0077443A" w:rsidRDefault="00051396" w:rsidP="00051396">
            <w:pPr>
              <w:jc w:val="center"/>
              <w:rPr>
                <w:rFonts w:cs="Arial"/>
                <w:b/>
              </w:rPr>
            </w:pPr>
            <w:r w:rsidRPr="0077443A">
              <w:rPr>
                <w:rFonts w:cs="Arial"/>
                <w:b/>
              </w:rPr>
              <w:t>Timescale</w:t>
            </w:r>
          </w:p>
        </w:tc>
      </w:tr>
      <w:tr w:rsidR="00051396" w:rsidRPr="0077443A" w14:paraId="78D81240" w14:textId="77777777" w:rsidTr="004B0C70">
        <w:trPr>
          <w:trHeight w:val="402"/>
        </w:trPr>
        <w:tc>
          <w:tcPr>
            <w:tcW w:w="550" w:type="dxa"/>
            <w:vMerge w:val="restart"/>
          </w:tcPr>
          <w:p w14:paraId="22577FB6" w14:textId="77777777" w:rsidR="00051396" w:rsidRPr="0077443A" w:rsidRDefault="00051396" w:rsidP="00051396">
            <w:pPr>
              <w:jc w:val="center"/>
              <w:rPr>
                <w:rFonts w:cs="Arial"/>
                <w:b/>
                <w:bCs/>
              </w:rPr>
            </w:pPr>
            <w:r w:rsidRPr="0077443A">
              <w:rPr>
                <w:rFonts w:cs="Arial"/>
                <w:b/>
                <w:bCs/>
              </w:rPr>
              <w:t>1</w:t>
            </w:r>
          </w:p>
        </w:tc>
        <w:tc>
          <w:tcPr>
            <w:tcW w:w="2847" w:type="dxa"/>
            <w:vMerge w:val="restart"/>
          </w:tcPr>
          <w:p w14:paraId="11CB4103" w14:textId="5384249B" w:rsidR="00051396" w:rsidRPr="0077443A" w:rsidRDefault="00051396" w:rsidP="00051396">
            <w:pPr>
              <w:rPr>
                <w:rFonts w:cs="Arial"/>
              </w:rPr>
            </w:pPr>
            <w:r w:rsidRPr="0077443A">
              <w:rPr>
                <w:rFonts w:cs="Arial"/>
              </w:rPr>
              <w:t>Ensure our recruitment &amp; selection processes are inclusive</w:t>
            </w:r>
            <w:r w:rsidR="00071D79">
              <w:rPr>
                <w:rFonts w:cs="Arial"/>
              </w:rPr>
              <w:t>, r</w:t>
            </w:r>
            <w:r w:rsidRPr="0077443A">
              <w:rPr>
                <w:rFonts w:cs="Arial"/>
              </w:rPr>
              <w:t>aising the profile of the Trust as an “Employer of Choice” and reducing inequality in recruitment.</w:t>
            </w:r>
          </w:p>
        </w:tc>
        <w:tc>
          <w:tcPr>
            <w:tcW w:w="4962" w:type="dxa"/>
          </w:tcPr>
          <w:p w14:paraId="3D89C60A" w14:textId="77777777" w:rsidR="00051396" w:rsidRPr="0077443A" w:rsidRDefault="00051396" w:rsidP="00051396">
            <w:pPr>
              <w:rPr>
                <w:rFonts w:cs="Arial"/>
              </w:rPr>
            </w:pPr>
            <w:r w:rsidRPr="0077443A">
              <w:rPr>
                <w:rFonts w:cs="Arial"/>
              </w:rPr>
              <w:t>Develop and roll out a representative recruitment panel model, with initial focus on senior appointments.</w:t>
            </w:r>
          </w:p>
          <w:p w14:paraId="697F3F14" w14:textId="77777777" w:rsidR="00051396" w:rsidRPr="0077443A" w:rsidRDefault="00051396" w:rsidP="00051396">
            <w:pPr>
              <w:rPr>
                <w:rFonts w:cs="Arial"/>
              </w:rPr>
            </w:pPr>
          </w:p>
        </w:tc>
        <w:tc>
          <w:tcPr>
            <w:tcW w:w="3118" w:type="dxa"/>
          </w:tcPr>
          <w:p w14:paraId="51A3CD1D" w14:textId="354573B7" w:rsidR="00051396" w:rsidRPr="0077443A" w:rsidRDefault="00051396" w:rsidP="00051396">
            <w:pPr>
              <w:rPr>
                <w:rFonts w:cs="Arial"/>
              </w:rPr>
            </w:pPr>
            <w:r w:rsidRPr="0077443A">
              <w:rPr>
                <w:rFonts w:cs="Arial"/>
              </w:rPr>
              <w:t>Head of Diversity and Inclusion</w:t>
            </w:r>
            <w:r w:rsidR="000B05A4">
              <w:rPr>
                <w:rFonts w:cs="Arial"/>
              </w:rPr>
              <w:t>/ Recruitment and Resourcing Manager</w:t>
            </w:r>
          </w:p>
        </w:tc>
        <w:tc>
          <w:tcPr>
            <w:tcW w:w="2410" w:type="dxa"/>
          </w:tcPr>
          <w:p w14:paraId="1400AC20" w14:textId="30517F87" w:rsidR="00051396" w:rsidRPr="0077443A" w:rsidRDefault="00051396" w:rsidP="00051396">
            <w:pPr>
              <w:rPr>
                <w:rFonts w:cs="Arial"/>
              </w:rPr>
            </w:pPr>
            <w:r w:rsidRPr="0077443A">
              <w:rPr>
                <w:rFonts w:cs="Arial"/>
              </w:rPr>
              <w:t>April 202</w:t>
            </w:r>
            <w:r w:rsidR="000B05A4">
              <w:rPr>
                <w:rFonts w:cs="Arial"/>
              </w:rPr>
              <w:t>5</w:t>
            </w:r>
          </w:p>
        </w:tc>
      </w:tr>
      <w:tr w:rsidR="00051396" w:rsidRPr="0077443A" w14:paraId="381E74E2" w14:textId="77777777" w:rsidTr="004B0C70">
        <w:trPr>
          <w:trHeight w:val="401"/>
        </w:trPr>
        <w:tc>
          <w:tcPr>
            <w:tcW w:w="550" w:type="dxa"/>
            <w:vMerge/>
          </w:tcPr>
          <w:p w14:paraId="14411E29" w14:textId="77777777" w:rsidR="00051396" w:rsidRPr="0077443A" w:rsidRDefault="00051396" w:rsidP="00051396">
            <w:pPr>
              <w:jc w:val="center"/>
              <w:rPr>
                <w:rFonts w:cs="Arial"/>
                <w:b/>
                <w:bCs/>
              </w:rPr>
            </w:pPr>
          </w:p>
        </w:tc>
        <w:tc>
          <w:tcPr>
            <w:tcW w:w="2847" w:type="dxa"/>
            <w:vMerge/>
          </w:tcPr>
          <w:p w14:paraId="212EB694" w14:textId="77777777" w:rsidR="00051396" w:rsidRPr="0077443A" w:rsidRDefault="00051396" w:rsidP="00051396">
            <w:pPr>
              <w:rPr>
                <w:rFonts w:cs="Arial"/>
              </w:rPr>
            </w:pPr>
          </w:p>
        </w:tc>
        <w:tc>
          <w:tcPr>
            <w:tcW w:w="4962" w:type="dxa"/>
          </w:tcPr>
          <w:p w14:paraId="181F21A3" w14:textId="77777777" w:rsidR="00051396" w:rsidRPr="0077443A" w:rsidRDefault="00051396" w:rsidP="00051396">
            <w:pPr>
              <w:rPr>
                <w:rFonts w:cs="Arial"/>
              </w:rPr>
            </w:pPr>
            <w:r w:rsidRPr="0077443A">
              <w:rPr>
                <w:rFonts w:cs="Arial"/>
              </w:rPr>
              <w:t>Develop and roll-out career development &amp; interview skills sessions.</w:t>
            </w:r>
          </w:p>
        </w:tc>
        <w:tc>
          <w:tcPr>
            <w:tcW w:w="3118" w:type="dxa"/>
          </w:tcPr>
          <w:p w14:paraId="53973A86" w14:textId="2EA6AE5A" w:rsidR="00051396" w:rsidRDefault="000B05A4" w:rsidP="00051396">
            <w:pPr>
              <w:rPr>
                <w:rFonts w:cs="Arial"/>
              </w:rPr>
            </w:pPr>
            <w:r>
              <w:rPr>
                <w:rFonts w:cs="Arial"/>
              </w:rPr>
              <w:t xml:space="preserve">Talent and </w:t>
            </w:r>
            <w:r w:rsidR="00051396" w:rsidRPr="0077443A">
              <w:rPr>
                <w:rFonts w:cs="Arial"/>
              </w:rPr>
              <w:t>Resourcing Manager</w:t>
            </w:r>
            <w:r>
              <w:rPr>
                <w:rFonts w:cs="Arial"/>
              </w:rPr>
              <w:t xml:space="preserve">. </w:t>
            </w:r>
          </w:p>
          <w:p w14:paraId="7D5A23D5" w14:textId="5C9037D6" w:rsidR="000B05A4" w:rsidRPr="0077443A" w:rsidRDefault="000B05A4" w:rsidP="00051396">
            <w:pPr>
              <w:rPr>
                <w:rFonts w:cs="Arial"/>
              </w:rPr>
            </w:pPr>
          </w:p>
        </w:tc>
        <w:tc>
          <w:tcPr>
            <w:tcW w:w="2410" w:type="dxa"/>
          </w:tcPr>
          <w:p w14:paraId="061D965F" w14:textId="0F6F485F" w:rsidR="00051396" w:rsidRPr="0077443A" w:rsidRDefault="000B05A4" w:rsidP="00051396">
            <w:pPr>
              <w:rPr>
                <w:rFonts w:cs="Arial"/>
              </w:rPr>
            </w:pPr>
            <w:r>
              <w:rPr>
                <w:rFonts w:cs="Arial"/>
              </w:rPr>
              <w:t>In Progress</w:t>
            </w:r>
          </w:p>
        </w:tc>
      </w:tr>
      <w:tr w:rsidR="00051396" w:rsidRPr="0077443A" w14:paraId="5C0F6429" w14:textId="77777777" w:rsidTr="004B0C70">
        <w:trPr>
          <w:trHeight w:val="401"/>
        </w:trPr>
        <w:tc>
          <w:tcPr>
            <w:tcW w:w="550" w:type="dxa"/>
            <w:vMerge/>
          </w:tcPr>
          <w:p w14:paraId="0376C8B0" w14:textId="77777777" w:rsidR="00051396" w:rsidRPr="0077443A" w:rsidRDefault="00051396" w:rsidP="00051396">
            <w:pPr>
              <w:jc w:val="center"/>
              <w:rPr>
                <w:rFonts w:cs="Arial"/>
                <w:b/>
                <w:bCs/>
              </w:rPr>
            </w:pPr>
          </w:p>
        </w:tc>
        <w:tc>
          <w:tcPr>
            <w:tcW w:w="2847" w:type="dxa"/>
            <w:vMerge/>
          </w:tcPr>
          <w:p w14:paraId="7EFDBF75" w14:textId="77777777" w:rsidR="00051396" w:rsidRPr="0077443A" w:rsidRDefault="00051396" w:rsidP="00051396">
            <w:pPr>
              <w:rPr>
                <w:rFonts w:cs="Arial"/>
              </w:rPr>
            </w:pPr>
          </w:p>
        </w:tc>
        <w:tc>
          <w:tcPr>
            <w:tcW w:w="4962" w:type="dxa"/>
          </w:tcPr>
          <w:p w14:paraId="67A6DC32" w14:textId="1352980D" w:rsidR="00051396" w:rsidRPr="0077443A" w:rsidRDefault="00051396" w:rsidP="00051396">
            <w:pPr>
              <w:rPr>
                <w:rFonts w:cs="Arial"/>
              </w:rPr>
            </w:pPr>
            <w:r w:rsidRPr="0077443A">
              <w:rPr>
                <w:rFonts w:cs="Arial"/>
              </w:rPr>
              <w:t xml:space="preserve">Review and develop retention strategic plan </w:t>
            </w:r>
            <w:r w:rsidR="00071D79">
              <w:rPr>
                <w:rFonts w:cs="Arial"/>
              </w:rPr>
              <w:t xml:space="preserve">and </w:t>
            </w:r>
            <w:r w:rsidRPr="0077443A">
              <w:rPr>
                <w:rFonts w:cs="Arial"/>
              </w:rPr>
              <w:t>talent management actions to support the diversity of executive and senior leadership teams.</w:t>
            </w:r>
          </w:p>
        </w:tc>
        <w:tc>
          <w:tcPr>
            <w:tcW w:w="3118" w:type="dxa"/>
          </w:tcPr>
          <w:p w14:paraId="075A4B33" w14:textId="2B594133" w:rsidR="00051396" w:rsidRPr="0077443A" w:rsidRDefault="00051396" w:rsidP="00051396">
            <w:pPr>
              <w:rPr>
                <w:rFonts w:cs="Arial"/>
              </w:rPr>
            </w:pPr>
            <w:r w:rsidRPr="0077443A">
              <w:rPr>
                <w:rFonts w:cs="Arial"/>
              </w:rPr>
              <w:t xml:space="preserve">Recruitment and Resourcing Manager </w:t>
            </w:r>
            <w:r w:rsidR="000B05A4">
              <w:rPr>
                <w:rFonts w:cs="Arial"/>
              </w:rPr>
              <w:t>/ Associate Director of OD and Resourcing</w:t>
            </w:r>
          </w:p>
        </w:tc>
        <w:tc>
          <w:tcPr>
            <w:tcW w:w="2410" w:type="dxa"/>
          </w:tcPr>
          <w:p w14:paraId="2E039F9F" w14:textId="136206C4" w:rsidR="00051396" w:rsidRPr="0077443A" w:rsidRDefault="000B05A4" w:rsidP="00051396">
            <w:pPr>
              <w:rPr>
                <w:rFonts w:cs="Arial"/>
              </w:rPr>
            </w:pPr>
            <w:r>
              <w:rPr>
                <w:rFonts w:cs="Arial"/>
              </w:rPr>
              <w:t>In progress</w:t>
            </w:r>
          </w:p>
        </w:tc>
      </w:tr>
      <w:tr w:rsidR="00051396" w:rsidRPr="0077443A" w14:paraId="1D5F8DA6" w14:textId="77777777" w:rsidTr="004B0C70">
        <w:trPr>
          <w:trHeight w:val="401"/>
        </w:trPr>
        <w:tc>
          <w:tcPr>
            <w:tcW w:w="550" w:type="dxa"/>
            <w:vMerge/>
          </w:tcPr>
          <w:p w14:paraId="55826B16" w14:textId="77777777" w:rsidR="00051396" w:rsidRPr="0077443A" w:rsidRDefault="00051396" w:rsidP="00051396">
            <w:pPr>
              <w:jc w:val="center"/>
              <w:rPr>
                <w:rFonts w:cs="Arial"/>
                <w:b/>
                <w:bCs/>
              </w:rPr>
            </w:pPr>
          </w:p>
        </w:tc>
        <w:tc>
          <w:tcPr>
            <w:tcW w:w="2847" w:type="dxa"/>
            <w:vMerge/>
          </w:tcPr>
          <w:p w14:paraId="0752FDF1" w14:textId="77777777" w:rsidR="00051396" w:rsidRPr="0077443A" w:rsidRDefault="00051396" w:rsidP="00051396">
            <w:pPr>
              <w:rPr>
                <w:rFonts w:cs="Arial"/>
              </w:rPr>
            </w:pPr>
          </w:p>
        </w:tc>
        <w:tc>
          <w:tcPr>
            <w:tcW w:w="4962" w:type="dxa"/>
          </w:tcPr>
          <w:p w14:paraId="4A7788CA" w14:textId="77777777" w:rsidR="00051396" w:rsidRPr="0077443A" w:rsidRDefault="00051396" w:rsidP="00051396">
            <w:pPr>
              <w:rPr>
                <w:rFonts w:cs="Arial"/>
              </w:rPr>
            </w:pPr>
            <w:r w:rsidRPr="0077443A">
              <w:rPr>
                <w:rFonts w:cs="Arial"/>
              </w:rPr>
              <w:t>Review recruitment and widening participation plans to review impact and focus on widening recruitment opportunities for disabled applicants within local communities aligned to the NHS Long Term Workforce plan.</w:t>
            </w:r>
          </w:p>
          <w:p w14:paraId="15E4BCF4" w14:textId="77777777" w:rsidR="00704901" w:rsidRPr="0077443A" w:rsidRDefault="00704901" w:rsidP="00051396">
            <w:pPr>
              <w:rPr>
                <w:rFonts w:cs="Arial"/>
              </w:rPr>
            </w:pPr>
          </w:p>
        </w:tc>
        <w:tc>
          <w:tcPr>
            <w:tcW w:w="3118" w:type="dxa"/>
          </w:tcPr>
          <w:p w14:paraId="03318B2D" w14:textId="77777777" w:rsidR="00051396" w:rsidRPr="0077443A" w:rsidRDefault="00051396" w:rsidP="00051396">
            <w:pPr>
              <w:rPr>
                <w:rFonts w:cs="Arial"/>
              </w:rPr>
            </w:pPr>
            <w:r w:rsidRPr="0077443A">
              <w:rPr>
                <w:rFonts w:cs="Arial"/>
              </w:rPr>
              <w:t>Widening Participation Officer, Recruitment and Resourcing Manager and Head of Diversity and Inclusion.</w:t>
            </w:r>
          </w:p>
        </w:tc>
        <w:tc>
          <w:tcPr>
            <w:tcW w:w="2410" w:type="dxa"/>
          </w:tcPr>
          <w:p w14:paraId="1EB4E91C" w14:textId="37FF8249" w:rsidR="00051396" w:rsidRPr="0077443A" w:rsidRDefault="000B05A4" w:rsidP="00051396">
            <w:pPr>
              <w:rPr>
                <w:rFonts w:cs="Arial"/>
              </w:rPr>
            </w:pPr>
            <w:r>
              <w:rPr>
                <w:rFonts w:cs="Arial"/>
              </w:rPr>
              <w:t>In progress</w:t>
            </w:r>
          </w:p>
        </w:tc>
      </w:tr>
      <w:tr w:rsidR="00051396" w:rsidRPr="0077443A" w14:paraId="08ECB4EA" w14:textId="77777777" w:rsidTr="004B0C70">
        <w:trPr>
          <w:trHeight w:val="953"/>
        </w:trPr>
        <w:tc>
          <w:tcPr>
            <w:tcW w:w="550" w:type="dxa"/>
            <w:vMerge w:val="restart"/>
          </w:tcPr>
          <w:p w14:paraId="75C9E5CE" w14:textId="77777777" w:rsidR="00051396" w:rsidRPr="0077443A" w:rsidRDefault="00051396" w:rsidP="00051396">
            <w:pPr>
              <w:jc w:val="center"/>
              <w:rPr>
                <w:rFonts w:cs="Arial"/>
                <w:b/>
                <w:bCs/>
              </w:rPr>
            </w:pPr>
            <w:r w:rsidRPr="0077443A">
              <w:rPr>
                <w:rFonts w:cs="Arial"/>
                <w:b/>
                <w:bCs/>
              </w:rPr>
              <w:t>2</w:t>
            </w:r>
          </w:p>
        </w:tc>
        <w:tc>
          <w:tcPr>
            <w:tcW w:w="2847" w:type="dxa"/>
            <w:vMerge w:val="restart"/>
          </w:tcPr>
          <w:p w14:paraId="5D81FB22" w14:textId="77777777" w:rsidR="00051396" w:rsidRPr="0077443A" w:rsidRDefault="00051396" w:rsidP="00051396">
            <w:pPr>
              <w:rPr>
                <w:rFonts w:cs="Arial"/>
              </w:rPr>
            </w:pPr>
            <w:r w:rsidRPr="0077443A">
              <w:rPr>
                <w:rFonts w:cs="Arial"/>
              </w:rPr>
              <w:t>To hold and effectively use workforce data on all protected characteristic staff.</w:t>
            </w:r>
          </w:p>
        </w:tc>
        <w:tc>
          <w:tcPr>
            <w:tcW w:w="4962" w:type="dxa"/>
          </w:tcPr>
          <w:p w14:paraId="7388762A" w14:textId="77777777" w:rsidR="00051396" w:rsidRPr="0077443A" w:rsidRDefault="00051396" w:rsidP="00051396">
            <w:pPr>
              <w:rPr>
                <w:rFonts w:cs="Arial"/>
              </w:rPr>
            </w:pPr>
            <w:r w:rsidRPr="0077443A">
              <w:rPr>
                <w:rFonts w:cs="Arial"/>
              </w:rPr>
              <w:t xml:space="preserve">Monitor and analyse demographic recruitment data for international and high- volume recruitment to provide assurance on disability equality impact of access to employment. </w:t>
            </w:r>
          </w:p>
          <w:p w14:paraId="5E8C2563" w14:textId="77777777" w:rsidR="00704901" w:rsidRPr="0077443A" w:rsidRDefault="00704901" w:rsidP="00051396">
            <w:pPr>
              <w:rPr>
                <w:rFonts w:cs="Arial"/>
              </w:rPr>
            </w:pPr>
          </w:p>
        </w:tc>
        <w:tc>
          <w:tcPr>
            <w:tcW w:w="3118" w:type="dxa"/>
          </w:tcPr>
          <w:p w14:paraId="41831F3B" w14:textId="77777777" w:rsidR="00051396" w:rsidRPr="0077443A" w:rsidRDefault="00051396" w:rsidP="00051396">
            <w:pPr>
              <w:rPr>
                <w:rFonts w:cs="Arial"/>
              </w:rPr>
            </w:pPr>
            <w:r w:rsidRPr="0077443A">
              <w:rPr>
                <w:rFonts w:cs="Arial"/>
              </w:rPr>
              <w:t>Recruitment and Resourcing Manager and Head of Diversity and Inclusion.</w:t>
            </w:r>
          </w:p>
        </w:tc>
        <w:tc>
          <w:tcPr>
            <w:tcW w:w="2410" w:type="dxa"/>
          </w:tcPr>
          <w:p w14:paraId="5E51F339" w14:textId="7B7D3C0C" w:rsidR="00051396" w:rsidRPr="0077443A" w:rsidRDefault="000B05A4" w:rsidP="00051396">
            <w:pPr>
              <w:rPr>
                <w:rFonts w:cs="Arial"/>
              </w:rPr>
            </w:pPr>
            <w:r>
              <w:rPr>
                <w:rFonts w:cs="Arial"/>
              </w:rPr>
              <w:t>In progress</w:t>
            </w:r>
          </w:p>
        </w:tc>
      </w:tr>
      <w:tr w:rsidR="00051396" w:rsidRPr="0077443A" w14:paraId="25CDBC60" w14:textId="77777777" w:rsidTr="0077443A">
        <w:trPr>
          <w:trHeight w:val="843"/>
        </w:trPr>
        <w:tc>
          <w:tcPr>
            <w:tcW w:w="550" w:type="dxa"/>
            <w:vMerge/>
          </w:tcPr>
          <w:p w14:paraId="7BE53B5D" w14:textId="77777777" w:rsidR="00051396" w:rsidRPr="0077443A" w:rsidRDefault="00051396" w:rsidP="00051396">
            <w:pPr>
              <w:jc w:val="center"/>
              <w:rPr>
                <w:rFonts w:cs="Arial"/>
                <w:b/>
                <w:bCs/>
              </w:rPr>
            </w:pPr>
          </w:p>
        </w:tc>
        <w:tc>
          <w:tcPr>
            <w:tcW w:w="2847" w:type="dxa"/>
            <w:vMerge/>
          </w:tcPr>
          <w:p w14:paraId="24234E21" w14:textId="77777777" w:rsidR="00051396" w:rsidRPr="0077443A" w:rsidRDefault="00051396" w:rsidP="00051396">
            <w:pPr>
              <w:rPr>
                <w:rFonts w:cs="Arial"/>
              </w:rPr>
            </w:pPr>
          </w:p>
        </w:tc>
        <w:tc>
          <w:tcPr>
            <w:tcW w:w="4962" w:type="dxa"/>
          </w:tcPr>
          <w:p w14:paraId="3DCECCEC" w14:textId="77777777" w:rsidR="00051396" w:rsidRPr="0077443A" w:rsidRDefault="00051396" w:rsidP="00051396">
            <w:pPr>
              <w:rPr>
                <w:rFonts w:cs="Arial"/>
              </w:rPr>
            </w:pPr>
            <w:r w:rsidRPr="0077443A">
              <w:rPr>
                <w:rFonts w:cs="Arial"/>
              </w:rPr>
              <w:t>Test and implement workplace adjustments process improvement actions. Monitor uptake and impact for disabled staff.</w:t>
            </w:r>
          </w:p>
          <w:p w14:paraId="3E38C169" w14:textId="77777777" w:rsidR="00704901" w:rsidRPr="0077443A" w:rsidRDefault="00704901" w:rsidP="00051396">
            <w:pPr>
              <w:rPr>
                <w:rFonts w:cs="Arial"/>
              </w:rPr>
            </w:pPr>
          </w:p>
          <w:p w14:paraId="79791ED4" w14:textId="77777777" w:rsidR="00704901" w:rsidRPr="0077443A" w:rsidRDefault="00704901" w:rsidP="00051396">
            <w:pPr>
              <w:rPr>
                <w:rFonts w:cs="Arial"/>
              </w:rPr>
            </w:pPr>
          </w:p>
        </w:tc>
        <w:tc>
          <w:tcPr>
            <w:tcW w:w="3118" w:type="dxa"/>
          </w:tcPr>
          <w:p w14:paraId="36A098DD" w14:textId="77777777" w:rsidR="00051396" w:rsidRPr="0077443A" w:rsidRDefault="00051396" w:rsidP="00051396">
            <w:pPr>
              <w:rPr>
                <w:rFonts w:cs="Arial"/>
              </w:rPr>
            </w:pPr>
            <w:r w:rsidRPr="0077443A">
              <w:rPr>
                <w:rFonts w:cs="Arial"/>
              </w:rPr>
              <w:t>Head of Diversity and Inclusion and Improvement Team</w:t>
            </w:r>
          </w:p>
        </w:tc>
        <w:tc>
          <w:tcPr>
            <w:tcW w:w="2410" w:type="dxa"/>
          </w:tcPr>
          <w:p w14:paraId="4A1514DA" w14:textId="4F062E18" w:rsidR="00051396" w:rsidRPr="0077443A" w:rsidRDefault="00051396" w:rsidP="00051396">
            <w:pPr>
              <w:rPr>
                <w:rFonts w:cs="Arial"/>
              </w:rPr>
            </w:pPr>
            <w:r w:rsidRPr="0077443A">
              <w:rPr>
                <w:rFonts w:cs="Arial"/>
              </w:rPr>
              <w:t>April 202</w:t>
            </w:r>
            <w:r w:rsidR="000B05A4">
              <w:rPr>
                <w:rFonts w:cs="Arial"/>
              </w:rPr>
              <w:t>5</w:t>
            </w:r>
          </w:p>
        </w:tc>
      </w:tr>
      <w:tr w:rsidR="00EF2492" w:rsidRPr="0077443A" w14:paraId="4F25C03D" w14:textId="77777777" w:rsidTr="00704901">
        <w:trPr>
          <w:trHeight w:val="701"/>
        </w:trPr>
        <w:tc>
          <w:tcPr>
            <w:tcW w:w="13887" w:type="dxa"/>
            <w:gridSpan w:val="5"/>
            <w:shd w:val="clear" w:color="auto" w:fill="C6D9F1" w:themeFill="text2" w:themeFillTint="33"/>
          </w:tcPr>
          <w:p w14:paraId="6AD6D7E8" w14:textId="526A71E0" w:rsidR="00EF2492" w:rsidRPr="0077443A" w:rsidRDefault="00EF2492" w:rsidP="0052416C">
            <w:pPr>
              <w:pStyle w:val="ListParagraph0"/>
              <w:numPr>
                <w:ilvl w:val="0"/>
                <w:numId w:val="43"/>
              </w:numPr>
              <w:rPr>
                <w:rFonts w:cs="Arial"/>
                <w:b/>
                <w:bCs/>
              </w:rPr>
            </w:pPr>
            <w:r w:rsidRPr="0077443A">
              <w:rPr>
                <w:rFonts w:cs="Arial"/>
                <w:b/>
                <w:bCs/>
              </w:rPr>
              <w:t>Leadership, Learning and Development- WDES Metrics</w:t>
            </w:r>
            <w:r w:rsidR="00291D8A" w:rsidRPr="0077443A">
              <w:rPr>
                <w:rFonts w:cs="Arial"/>
                <w:b/>
                <w:bCs/>
              </w:rPr>
              <w:t xml:space="preserve"> </w:t>
            </w:r>
            <w:r w:rsidR="00DF16D9" w:rsidRPr="0077443A">
              <w:rPr>
                <w:rFonts w:cs="Arial"/>
                <w:b/>
                <w:bCs/>
              </w:rPr>
              <w:t>2,</w:t>
            </w:r>
            <w:r w:rsidR="00471727" w:rsidRPr="0077443A">
              <w:rPr>
                <w:rFonts w:cs="Arial"/>
                <w:b/>
                <w:bCs/>
              </w:rPr>
              <w:t>5</w:t>
            </w:r>
            <w:r w:rsidR="00DF16D9" w:rsidRPr="0077443A">
              <w:rPr>
                <w:rFonts w:cs="Arial"/>
                <w:b/>
                <w:bCs/>
              </w:rPr>
              <w:t>,7 and 9</w:t>
            </w:r>
          </w:p>
        </w:tc>
      </w:tr>
      <w:tr w:rsidR="00051396" w:rsidRPr="0077443A" w14:paraId="1A8D5CF1" w14:textId="77777777" w:rsidTr="004B0C70">
        <w:trPr>
          <w:trHeight w:val="1518"/>
        </w:trPr>
        <w:tc>
          <w:tcPr>
            <w:tcW w:w="550" w:type="dxa"/>
          </w:tcPr>
          <w:p w14:paraId="6379FB4B" w14:textId="77777777" w:rsidR="00051396" w:rsidRPr="0077443A" w:rsidRDefault="00051396" w:rsidP="00051396">
            <w:pPr>
              <w:jc w:val="center"/>
              <w:rPr>
                <w:rFonts w:cs="Arial"/>
                <w:b/>
                <w:bCs/>
              </w:rPr>
            </w:pPr>
            <w:r w:rsidRPr="0077443A">
              <w:rPr>
                <w:rFonts w:cs="Arial"/>
                <w:b/>
                <w:bCs/>
              </w:rPr>
              <w:lastRenderedPageBreak/>
              <w:t>1</w:t>
            </w:r>
          </w:p>
        </w:tc>
        <w:tc>
          <w:tcPr>
            <w:tcW w:w="2847" w:type="dxa"/>
          </w:tcPr>
          <w:p w14:paraId="64351CDD" w14:textId="77777777" w:rsidR="00051396" w:rsidRPr="0077443A" w:rsidRDefault="00051396" w:rsidP="00051396">
            <w:pPr>
              <w:rPr>
                <w:rFonts w:cs="Arial"/>
              </w:rPr>
            </w:pPr>
            <w:r w:rsidRPr="0077443A">
              <w:rPr>
                <w:rFonts w:cs="Arial"/>
              </w:rPr>
              <w:t>Embed and mainstreaming diversity and inclusion in all that we do.</w:t>
            </w:r>
          </w:p>
          <w:p w14:paraId="44DC5C0B" w14:textId="77777777" w:rsidR="00707CA2" w:rsidRPr="0077443A" w:rsidRDefault="00707CA2" w:rsidP="00051396">
            <w:pPr>
              <w:rPr>
                <w:rFonts w:cs="Arial"/>
              </w:rPr>
            </w:pPr>
          </w:p>
          <w:p w14:paraId="78ABDFE6" w14:textId="77777777" w:rsidR="00707CA2" w:rsidRPr="0077443A" w:rsidRDefault="00707CA2" w:rsidP="00051396">
            <w:pPr>
              <w:rPr>
                <w:rFonts w:cs="Arial"/>
              </w:rPr>
            </w:pPr>
          </w:p>
          <w:p w14:paraId="07AA98A1" w14:textId="77777777" w:rsidR="00707CA2" w:rsidRPr="0077443A" w:rsidRDefault="00707CA2" w:rsidP="00051396">
            <w:pPr>
              <w:rPr>
                <w:rFonts w:cs="Arial"/>
              </w:rPr>
            </w:pPr>
          </w:p>
          <w:p w14:paraId="4C982537" w14:textId="77777777" w:rsidR="00707CA2" w:rsidRPr="0077443A" w:rsidRDefault="00707CA2" w:rsidP="00051396">
            <w:pPr>
              <w:rPr>
                <w:rFonts w:cs="Arial"/>
              </w:rPr>
            </w:pPr>
          </w:p>
          <w:p w14:paraId="24C0B511" w14:textId="77777777" w:rsidR="00707CA2" w:rsidRPr="0077443A" w:rsidRDefault="00707CA2" w:rsidP="00051396">
            <w:pPr>
              <w:rPr>
                <w:rFonts w:cs="Arial"/>
              </w:rPr>
            </w:pPr>
          </w:p>
          <w:p w14:paraId="59AA5991" w14:textId="77777777" w:rsidR="00707CA2" w:rsidRPr="0077443A" w:rsidRDefault="00707CA2" w:rsidP="00051396">
            <w:pPr>
              <w:rPr>
                <w:rFonts w:cs="Arial"/>
              </w:rPr>
            </w:pPr>
          </w:p>
        </w:tc>
        <w:tc>
          <w:tcPr>
            <w:tcW w:w="4962" w:type="dxa"/>
          </w:tcPr>
          <w:p w14:paraId="773AEA09" w14:textId="77777777" w:rsidR="00051396" w:rsidRPr="0077443A" w:rsidRDefault="00051396" w:rsidP="00051396">
            <w:pPr>
              <w:rPr>
                <w:rFonts w:cs="Arial"/>
              </w:rPr>
            </w:pPr>
            <w:r w:rsidRPr="0077443A">
              <w:rPr>
                <w:rFonts w:cs="Arial"/>
              </w:rPr>
              <w:t>Review Trust-wide equality, diversity and inclusion strategic forward plan aligned to the Trust’s People Plan, with a refreshed set of equality objectives, accompanied by an action plan.</w:t>
            </w:r>
          </w:p>
          <w:p w14:paraId="2A315DB9" w14:textId="77777777" w:rsidR="00051396" w:rsidRPr="0077443A" w:rsidRDefault="00051396" w:rsidP="00051396">
            <w:pPr>
              <w:rPr>
                <w:rFonts w:cs="Arial"/>
              </w:rPr>
            </w:pPr>
          </w:p>
        </w:tc>
        <w:tc>
          <w:tcPr>
            <w:tcW w:w="3118" w:type="dxa"/>
          </w:tcPr>
          <w:p w14:paraId="42E53ED3" w14:textId="77777777" w:rsidR="00051396" w:rsidRPr="0077443A" w:rsidRDefault="00051396" w:rsidP="00051396">
            <w:pPr>
              <w:rPr>
                <w:rFonts w:cs="Arial"/>
              </w:rPr>
            </w:pPr>
            <w:r w:rsidRPr="0077443A">
              <w:rPr>
                <w:rFonts w:cs="Arial"/>
              </w:rPr>
              <w:t>Head of Diversity and Inclusion</w:t>
            </w:r>
          </w:p>
        </w:tc>
        <w:tc>
          <w:tcPr>
            <w:tcW w:w="2410" w:type="dxa"/>
            <w:shd w:val="clear" w:color="auto" w:fill="FFFFFF" w:themeFill="background1"/>
          </w:tcPr>
          <w:p w14:paraId="6FA7FC77" w14:textId="029318B2" w:rsidR="00051396" w:rsidRPr="0077443A" w:rsidRDefault="000B05A4" w:rsidP="00051396">
            <w:pPr>
              <w:jc w:val="both"/>
              <w:rPr>
                <w:rFonts w:cs="Arial"/>
              </w:rPr>
            </w:pPr>
            <w:r>
              <w:rPr>
                <w:rFonts w:cs="Arial"/>
              </w:rPr>
              <w:t>In progress</w:t>
            </w:r>
          </w:p>
        </w:tc>
      </w:tr>
      <w:tr w:rsidR="00051396" w:rsidRPr="0077443A" w14:paraId="0A858527" w14:textId="77777777" w:rsidTr="004B0C70">
        <w:trPr>
          <w:trHeight w:val="505"/>
        </w:trPr>
        <w:tc>
          <w:tcPr>
            <w:tcW w:w="550" w:type="dxa"/>
            <w:vMerge w:val="restart"/>
          </w:tcPr>
          <w:p w14:paraId="3C3338D5" w14:textId="77777777" w:rsidR="00051396" w:rsidRPr="0077443A" w:rsidRDefault="00051396" w:rsidP="00051396">
            <w:pPr>
              <w:jc w:val="center"/>
              <w:rPr>
                <w:rFonts w:cs="Arial"/>
                <w:b/>
                <w:bCs/>
              </w:rPr>
            </w:pPr>
            <w:r w:rsidRPr="0077443A">
              <w:rPr>
                <w:rFonts w:cs="Arial"/>
                <w:b/>
                <w:bCs/>
              </w:rPr>
              <w:t>2</w:t>
            </w:r>
          </w:p>
        </w:tc>
        <w:tc>
          <w:tcPr>
            <w:tcW w:w="2847" w:type="dxa"/>
            <w:vMerge w:val="restart"/>
          </w:tcPr>
          <w:p w14:paraId="14180E76" w14:textId="77777777" w:rsidR="00051396" w:rsidRPr="0077443A" w:rsidRDefault="00051396" w:rsidP="00051396">
            <w:pPr>
              <w:rPr>
                <w:rFonts w:cs="Arial"/>
              </w:rPr>
            </w:pPr>
            <w:r w:rsidRPr="0077443A">
              <w:rPr>
                <w:rFonts w:cs="Arial"/>
              </w:rPr>
              <w:t>Managers equipped with having meaningful and compassionate conversations.</w:t>
            </w:r>
          </w:p>
        </w:tc>
        <w:tc>
          <w:tcPr>
            <w:tcW w:w="4962" w:type="dxa"/>
          </w:tcPr>
          <w:p w14:paraId="79EF787D" w14:textId="77777777" w:rsidR="00051396" w:rsidRPr="0077443A" w:rsidRDefault="00051396" w:rsidP="00051396">
            <w:pPr>
              <w:rPr>
                <w:rFonts w:cs="Arial"/>
              </w:rPr>
            </w:pPr>
            <w:r w:rsidRPr="0077443A">
              <w:rPr>
                <w:rFonts w:cs="Arial"/>
              </w:rPr>
              <w:t>Scope options for the development and delivery of additional EDI training for line managers. Providing them with the tools and strategies to empower them to be inclusive and compassionate leaders, with focus on creating a culture of civility and respect.</w:t>
            </w:r>
          </w:p>
          <w:p w14:paraId="72EE5961" w14:textId="77777777" w:rsidR="00051396" w:rsidRPr="0077443A" w:rsidRDefault="00051396" w:rsidP="00051396">
            <w:pPr>
              <w:rPr>
                <w:rFonts w:cs="Arial"/>
              </w:rPr>
            </w:pPr>
          </w:p>
        </w:tc>
        <w:tc>
          <w:tcPr>
            <w:tcW w:w="3118" w:type="dxa"/>
          </w:tcPr>
          <w:p w14:paraId="3CE7D5C0" w14:textId="3DA77E1B" w:rsidR="00051396" w:rsidRPr="0077443A" w:rsidRDefault="00051396" w:rsidP="00051396">
            <w:pPr>
              <w:rPr>
                <w:rFonts w:cs="Arial"/>
              </w:rPr>
            </w:pPr>
            <w:r w:rsidRPr="0077443A">
              <w:rPr>
                <w:rFonts w:cs="Arial"/>
              </w:rPr>
              <w:t>HR Business Partners and Head of Organisational Development</w:t>
            </w:r>
            <w:r w:rsidR="000B05A4">
              <w:rPr>
                <w:rFonts w:cs="Arial"/>
              </w:rPr>
              <w:t>/ Head of Diversity and Inclusion</w:t>
            </w:r>
          </w:p>
        </w:tc>
        <w:tc>
          <w:tcPr>
            <w:tcW w:w="2410" w:type="dxa"/>
            <w:shd w:val="clear" w:color="auto" w:fill="FFFFFF" w:themeFill="background1"/>
          </w:tcPr>
          <w:p w14:paraId="24FFF5CD" w14:textId="453DFCDC" w:rsidR="00051396" w:rsidRPr="0077443A" w:rsidRDefault="000B05A4" w:rsidP="00051396">
            <w:pPr>
              <w:rPr>
                <w:rFonts w:cs="Arial"/>
              </w:rPr>
            </w:pPr>
            <w:r>
              <w:rPr>
                <w:rFonts w:cs="Arial"/>
              </w:rPr>
              <w:t xml:space="preserve">On-going </w:t>
            </w:r>
          </w:p>
        </w:tc>
      </w:tr>
      <w:tr w:rsidR="00051396" w:rsidRPr="0077443A" w14:paraId="7CC84880" w14:textId="77777777" w:rsidTr="004B0C70">
        <w:trPr>
          <w:trHeight w:val="505"/>
        </w:trPr>
        <w:tc>
          <w:tcPr>
            <w:tcW w:w="550" w:type="dxa"/>
            <w:vMerge/>
          </w:tcPr>
          <w:p w14:paraId="3F51EE2D" w14:textId="77777777" w:rsidR="00051396" w:rsidRPr="0077443A" w:rsidRDefault="00051396" w:rsidP="00051396">
            <w:pPr>
              <w:jc w:val="center"/>
              <w:rPr>
                <w:rFonts w:cs="Arial"/>
                <w:b/>
                <w:bCs/>
              </w:rPr>
            </w:pPr>
          </w:p>
        </w:tc>
        <w:tc>
          <w:tcPr>
            <w:tcW w:w="2847" w:type="dxa"/>
            <w:vMerge/>
          </w:tcPr>
          <w:p w14:paraId="452B195A" w14:textId="77777777" w:rsidR="00051396" w:rsidRPr="0077443A" w:rsidRDefault="00051396" w:rsidP="00051396">
            <w:pPr>
              <w:rPr>
                <w:rFonts w:cs="Arial"/>
              </w:rPr>
            </w:pPr>
          </w:p>
        </w:tc>
        <w:tc>
          <w:tcPr>
            <w:tcW w:w="4962" w:type="dxa"/>
          </w:tcPr>
          <w:p w14:paraId="217865D8" w14:textId="77777777" w:rsidR="00051396" w:rsidRPr="0077443A" w:rsidRDefault="00051396" w:rsidP="00051396">
            <w:pPr>
              <w:rPr>
                <w:rFonts w:cs="Arial"/>
              </w:rPr>
            </w:pPr>
            <w:r w:rsidRPr="0077443A">
              <w:rPr>
                <w:rFonts w:cs="Arial"/>
              </w:rPr>
              <w:t>Evaluate the success of the Trust Reciprocal Mentoring scheme and launch the third cohort.</w:t>
            </w:r>
          </w:p>
        </w:tc>
        <w:tc>
          <w:tcPr>
            <w:tcW w:w="3118" w:type="dxa"/>
          </w:tcPr>
          <w:p w14:paraId="22E7C246" w14:textId="43261D72" w:rsidR="00051396" w:rsidRPr="0077443A" w:rsidRDefault="00051396" w:rsidP="00051396">
            <w:pPr>
              <w:rPr>
                <w:rFonts w:cs="Arial"/>
              </w:rPr>
            </w:pPr>
            <w:r w:rsidRPr="0077443A">
              <w:rPr>
                <w:rFonts w:cs="Arial"/>
              </w:rPr>
              <w:t>Organisational Development Lead.</w:t>
            </w:r>
          </w:p>
          <w:p w14:paraId="3014B0C0" w14:textId="77777777" w:rsidR="00051396" w:rsidRPr="0077443A" w:rsidRDefault="00051396" w:rsidP="00051396">
            <w:pPr>
              <w:rPr>
                <w:rFonts w:cs="Arial"/>
              </w:rPr>
            </w:pPr>
          </w:p>
        </w:tc>
        <w:tc>
          <w:tcPr>
            <w:tcW w:w="2410" w:type="dxa"/>
            <w:shd w:val="clear" w:color="auto" w:fill="FFFFFF" w:themeFill="background1"/>
          </w:tcPr>
          <w:p w14:paraId="24CD8DDE" w14:textId="66E59A5A" w:rsidR="00051396" w:rsidRPr="0077443A" w:rsidRDefault="00051396" w:rsidP="00051396">
            <w:pPr>
              <w:rPr>
                <w:rFonts w:cs="Arial"/>
              </w:rPr>
            </w:pPr>
            <w:r w:rsidRPr="0077443A">
              <w:rPr>
                <w:rFonts w:cs="Arial"/>
              </w:rPr>
              <w:t>May 202</w:t>
            </w:r>
            <w:r w:rsidR="000B05A4">
              <w:rPr>
                <w:rFonts w:cs="Arial"/>
              </w:rPr>
              <w:t>5</w:t>
            </w:r>
          </w:p>
        </w:tc>
      </w:tr>
      <w:tr w:rsidR="00051396" w:rsidRPr="0077443A" w14:paraId="6CE63AC7" w14:textId="77777777" w:rsidTr="004B0C70">
        <w:tc>
          <w:tcPr>
            <w:tcW w:w="550" w:type="dxa"/>
          </w:tcPr>
          <w:p w14:paraId="2A9241F3" w14:textId="77777777" w:rsidR="00051396" w:rsidRPr="0077443A" w:rsidRDefault="00051396" w:rsidP="00051396">
            <w:pPr>
              <w:jc w:val="center"/>
              <w:rPr>
                <w:rFonts w:cs="Arial"/>
                <w:b/>
                <w:bCs/>
              </w:rPr>
            </w:pPr>
            <w:r w:rsidRPr="0077443A">
              <w:rPr>
                <w:rFonts w:cs="Arial"/>
                <w:b/>
                <w:bCs/>
              </w:rPr>
              <w:t>3</w:t>
            </w:r>
          </w:p>
        </w:tc>
        <w:tc>
          <w:tcPr>
            <w:tcW w:w="2847" w:type="dxa"/>
          </w:tcPr>
          <w:p w14:paraId="47F8CD09" w14:textId="77777777" w:rsidR="00051396" w:rsidRPr="0077443A" w:rsidRDefault="00051396" w:rsidP="00051396">
            <w:pPr>
              <w:rPr>
                <w:rFonts w:cs="Arial"/>
              </w:rPr>
            </w:pPr>
            <w:r w:rsidRPr="0077443A">
              <w:rPr>
                <w:rFonts w:cs="Arial"/>
              </w:rPr>
              <w:t>Increase awareness across the Trust; so that senior managers, middle managers, and the wider workforce are aware of our diversity and inclusion priorities.</w:t>
            </w:r>
          </w:p>
          <w:p w14:paraId="2EDEB03B" w14:textId="77777777" w:rsidR="00051396" w:rsidRPr="0077443A" w:rsidRDefault="00051396" w:rsidP="00051396">
            <w:pPr>
              <w:rPr>
                <w:rFonts w:cs="Arial"/>
              </w:rPr>
            </w:pPr>
          </w:p>
          <w:p w14:paraId="301B98BB" w14:textId="77777777" w:rsidR="00051396" w:rsidRPr="0077443A" w:rsidRDefault="00051396" w:rsidP="00051396">
            <w:pPr>
              <w:rPr>
                <w:rFonts w:cs="Arial"/>
              </w:rPr>
            </w:pPr>
          </w:p>
        </w:tc>
        <w:tc>
          <w:tcPr>
            <w:tcW w:w="4962" w:type="dxa"/>
          </w:tcPr>
          <w:p w14:paraId="52342911" w14:textId="77777777" w:rsidR="00051396" w:rsidRDefault="00051396" w:rsidP="00051396">
            <w:pPr>
              <w:rPr>
                <w:rFonts w:cs="Arial"/>
              </w:rPr>
            </w:pPr>
            <w:r w:rsidRPr="0077443A">
              <w:rPr>
                <w:rFonts w:cs="Arial"/>
              </w:rPr>
              <w:t>Discussion at service and management level meetings about diversity and inclusion priorities. To raise the profile of disability equality through analysis of service level equality data, empowering managers to agree their own priority areas for action and influencing operational plans.</w:t>
            </w:r>
          </w:p>
          <w:p w14:paraId="5FE848C2" w14:textId="77777777" w:rsidR="0077443A" w:rsidRDefault="0077443A" w:rsidP="00051396">
            <w:pPr>
              <w:rPr>
                <w:rFonts w:cs="Arial"/>
              </w:rPr>
            </w:pPr>
          </w:p>
          <w:p w14:paraId="3676A6FE" w14:textId="77777777" w:rsidR="0077443A" w:rsidRDefault="0077443A" w:rsidP="00051396">
            <w:pPr>
              <w:rPr>
                <w:rFonts w:cs="Arial"/>
              </w:rPr>
            </w:pPr>
          </w:p>
          <w:p w14:paraId="40BD8550" w14:textId="77777777" w:rsidR="0077443A" w:rsidRDefault="0077443A" w:rsidP="00051396">
            <w:pPr>
              <w:rPr>
                <w:rFonts w:cs="Arial"/>
              </w:rPr>
            </w:pPr>
          </w:p>
          <w:p w14:paraId="2DBF1AD9" w14:textId="77777777" w:rsidR="0077443A" w:rsidRPr="0077443A" w:rsidRDefault="0077443A" w:rsidP="00051396">
            <w:pPr>
              <w:rPr>
                <w:rFonts w:cs="Arial"/>
              </w:rPr>
            </w:pPr>
          </w:p>
        </w:tc>
        <w:tc>
          <w:tcPr>
            <w:tcW w:w="3118" w:type="dxa"/>
          </w:tcPr>
          <w:p w14:paraId="1775B34D" w14:textId="2F81C21E" w:rsidR="00051396" w:rsidRPr="0077443A" w:rsidRDefault="00051396" w:rsidP="00051396">
            <w:pPr>
              <w:rPr>
                <w:rFonts w:cs="Arial"/>
              </w:rPr>
            </w:pPr>
            <w:r w:rsidRPr="0077443A">
              <w:rPr>
                <w:rFonts w:cs="Arial"/>
              </w:rPr>
              <w:t>Head of Diversity and Inclusion</w:t>
            </w:r>
          </w:p>
        </w:tc>
        <w:tc>
          <w:tcPr>
            <w:tcW w:w="2410" w:type="dxa"/>
          </w:tcPr>
          <w:p w14:paraId="196C5ADB" w14:textId="10D8B126" w:rsidR="00051396" w:rsidRPr="0077443A" w:rsidRDefault="004B0F12" w:rsidP="00051396">
            <w:pPr>
              <w:rPr>
                <w:rFonts w:cs="Arial"/>
              </w:rPr>
            </w:pPr>
            <w:r w:rsidRPr="0077443A">
              <w:rPr>
                <w:rFonts w:cs="Arial"/>
              </w:rPr>
              <w:t>September</w:t>
            </w:r>
            <w:r w:rsidR="00051396" w:rsidRPr="0077443A">
              <w:rPr>
                <w:rFonts w:cs="Arial"/>
              </w:rPr>
              <w:t xml:space="preserve"> 202</w:t>
            </w:r>
            <w:r w:rsidR="000B05A4">
              <w:rPr>
                <w:rFonts w:cs="Arial"/>
              </w:rPr>
              <w:t>5</w:t>
            </w:r>
          </w:p>
        </w:tc>
      </w:tr>
      <w:tr w:rsidR="0052416C" w:rsidRPr="0077443A" w14:paraId="106109B8" w14:textId="77777777" w:rsidTr="002B752E">
        <w:trPr>
          <w:trHeight w:val="634"/>
        </w:trPr>
        <w:tc>
          <w:tcPr>
            <w:tcW w:w="13887" w:type="dxa"/>
            <w:gridSpan w:val="5"/>
            <w:shd w:val="clear" w:color="auto" w:fill="C6D9F1" w:themeFill="text2" w:themeFillTint="33"/>
          </w:tcPr>
          <w:p w14:paraId="6854983B" w14:textId="33B11F7A" w:rsidR="0052416C" w:rsidRPr="0077443A" w:rsidRDefault="0052416C" w:rsidP="0052416C">
            <w:pPr>
              <w:pStyle w:val="ListParagraph0"/>
              <w:numPr>
                <w:ilvl w:val="0"/>
                <w:numId w:val="43"/>
              </w:numPr>
              <w:rPr>
                <w:rFonts w:cs="Arial"/>
                <w:b/>
                <w:bCs/>
              </w:rPr>
            </w:pPr>
            <w:r w:rsidRPr="0077443A">
              <w:rPr>
                <w:rFonts w:cs="Arial"/>
                <w:b/>
                <w:bCs/>
              </w:rPr>
              <w:t xml:space="preserve">Staff Experience WDES Metrics </w:t>
            </w:r>
            <w:r w:rsidR="00F81B50" w:rsidRPr="0077443A">
              <w:rPr>
                <w:rFonts w:cs="Arial"/>
                <w:b/>
                <w:bCs/>
              </w:rPr>
              <w:t>4,5,6,7,8 and 9</w:t>
            </w:r>
          </w:p>
        </w:tc>
      </w:tr>
      <w:tr w:rsidR="00051396" w:rsidRPr="0077443A" w14:paraId="0A1AE83A" w14:textId="77777777" w:rsidTr="004B0C70">
        <w:trPr>
          <w:trHeight w:val="1275"/>
        </w:trPr>
        <w:tc>
          <w:tcPr>
            <w:tcW w:w="550" w:type="dxa"/>
            <w:vMerge w:val="restart"/>
          </w:tcPr>
          <w:p w14:paraId="28C03FD9" w14:textId="77777777" w:rsidR="00051396" w:rsidRPr="0077443A" w:rsidRDefault="00051396" w:rsidP="00051396">
            <w:pPr>
              <w:jc w:val="center"/>
              <w:rPr>
                <w:rFonts w:cs="Arial"/>
                <w:b/>
                <w:bCs/>
              </w:rPr>
            </w:pPr>
            <w:r w:rsidRPr="0077443A">
              <w:rPr>
                <w:rFonts w:cs="Arial"/>
                <w:b/>
                <w:bCs/>
              </w:rPr>
              <w:lastRenderedPageBreak/>
              <w:t>1</w:t>
            </w:r>
          </w:p>
        </w:tc>
        <w:tc>
          <w:tcPr>
            <w:tcW w:w="2847" w:type="dxa"/>
            <w:vMerge w:val="restart"/>
          </w:tcPr>
          <w:p w14:paraId="725E3E4C" w14:textId="0E397FAC" w:rsidR="00051396" w:rsidRPr="0077443A" w:rsidRDefault="00051396" w:rsidP="00051396">
            <w:pPr>
              <w:rPr>
                <w:rFonts w:cs="Arial"/>
              </w:rPr>
            </w:pPr>
            <w:r w:rsidRPr="0077443A">
              <w:rPr>
                <w:rFonts w:cs="Arial"/>
              </w:rPr>
              <w:t xml:space="preserve">Prevent and challenge bullying, harassment and abuse against staff and create a culture of </w:t>
            </w:r>
            <w:r w:rsidR="00071D79">
              <w:rPr>
                <w:rFonts w:cs="Arial"/>
              </w:rPr>
              <w:t>C</w:t>
            </w:r>
            <w:r w:rsidRPr="0077443A">
              <w:rPr>
                <w:rFonts w:cs="Arial"/>
              </w:rPr>
              <w:t xml:space="preserve">ivility and </w:t>
            </w:r>
            <w:r w:rsidR="00071D79">
              <w:rPr>
                <w:rFonts w:cs="Arial"/>
              </w:rPr>
              <w:t>R</w:t>
            </w:r>
            <w:r w:rsidRPr="0077443A">
              <w:rPr>
                <w:rFonts w:cs="Arial"/>
              </w:rPr>
              <w:t>espect</w:t>
            </w:r>
            <w:r w:rsidR="003A1637" w:rsidRPr="0077443A">
              <w:rPr>
                <w:rFonts w:cs="Arial"/>
              </w:rPr>
              <w:t>.</w:t>
            </w:r>
          </w:p>
        </w:tc>
        <w:tc>
          <w:tcPr>
            <w:tcW w:w="4962" w:type="dxa"/>
          </w:tcPr>
          <w:p w14:paraId="2488DAFA" w14:textId="77777777" w:rsidR="00051396" w:rsidRPr="0077443A" w:rsidRDefault="00051396" w:rsidP="00051396">
            <w:pPr>
              <w:rPr>
                <w:rFonts w:cs="Arial"/>
              </w:rPr>
            </w:pPr>
            <w:r w:rsidRPr="0077443A">
              <w:rPr>
                <w:rFonts w:cs="Arial"/>
              </w:rPr>
              <w:t xml:space="preserve">Increased focus on civility in the workplace. </w:t>
            </w:r>
          </w:p>
          <w:p w14:paraId="31457BEB" w14:textId="77777777" w:rsidR="00051396" w:rsidRPr="0077443A" w:rsidRDefault="00051396" w:rsidP="00051396">
            <w:pPr>
              <w:numPr>
                <w:ilvl w:val="0"/>
                <w:numId w:val="42"/>
              </w:numPr>
              <w:contextualSpacing/>
              <w:rPr>
                <w:rFonts w:cs="Arial"/>
              </w:rPr>
            </w:pPr>
            <w:r w:rsidRPr="0077443A">
              <w:rPr>
                <w:rFonts w:cs="Arial"/>
              </w:rPr>
              <w:t>Continued development and roll out of our Civility and Respect work programme.</w:t>
            </w:r>
          </w:p>
          <w:p w14:paraId="51AFAAB4" w14:textId="77777777" w:rsidR="00051396" w:rsidRPr="0077443A" w:rsidRDefault="00051396" w:rsidP="00051396">
            <w:pPr>
              <w:numPr>
                <w:ilvl w:val="0"/>
                <w:numId w:val="42"/>
              </w:numPr>
              <w:contextualSpacing/>
              <w:rPr>
                <w:rFonts w:cs="Arial"/>
              </w:rPr>
            </w:pPr>
            <w:r w:rsidRPr="0077443A">
              <w:rPr>
                <w:rFonts w:cs="Arial"/>
              </w:rPr>
              <w:t>Review the bullying and harassment policy and procedure.</w:t>
            </w:r>
          </w:p>
          <w:p w14:paraId="0F139EA8" w14:textId="7D0BDDB2" w:rsidR="00051396" w:rsidRPr="0077443A" w:rsidRDefault="00051396" w:rsidP="002B752E">
            <w:pPr>
              <w:numPr>
                <w:ilvl w:val="0"/>
                <w:numId w:val="42"/>
              </w:numPr>
              <w:contextualSpacing/>
              <w:rPr>
                <w:rFonts w:cs="Arial"/>
              </w:rPr>
            </w:pPr>
            <w:r w:rsidRPr="0077443A">
              <w:rPr>
                <w:rFonts w:cs="Arial"/>
              </w:rPr>
              <w:t>Promote the importance and encourage Disabled staff to report instances of bullying, harassment or abuse</w:t>
            </w:r>
            <w:r w:rsidR="009F28AF" w:rsidRPr="0077443A">
              <w:rPr>
                <w:rFonts w:cs="Arial"/>
              </w:rPr>
              <w:t>.</w:t>
            </w:r>
            <w:r w:rsidRPr="0077443A">
              <w:rPr>
                <w:rFonts w:cs="Arial"/>
              </w:rPr>
              <w:t xml:space="preserve"> </w:t>
            </w:r>
          </w:p>
        </w:tc>
        <w:tc>
          <w:tcPr>
            <w:tcW w:w="3118" w:type="dxa"/>
          </w:tcPr>
          <w:p w14:paraId="7EBA4275" w14:textId="77777777" w:rsidR="00051396" w:rsidRPr="0077443A" w:rsidRDefault="00051396" w:rsidP="00051396">
            <w:pPr>
              <w:rPr>
                <w:rFonts w:cs="Arial"/>
              </w:rPr>
            </w:pPr>
            <w:r w:rsidRPr="0077443A">
              <w:rPr>
                <w:rFonts w:cs="Arial"/>
              </w:rPr>
              <w:t>Associate Director of Employment/ HR Business Partners/Head of Diversity</w:t>
            </w:r>
          </w:p>
          <w:p w14:paraId="4A9481E2" w14:textId="77777777" w:rsidR="00051396" w:rsidRPr="0077443A" w:rsidRDefault="00051396" w:rsidP="00051396">
            <w:pPr>
              <w:rPr>
                <w:rFonts w:cs="Arial"/>
              </w:rPr>
            </w:pPr>
          </w:p>
        </w:tc>
        <w:tc>
          <w:tcPr>
            <w:tcW w:w="2410" w:type="dxa"/>
            <w:shd w:val="clear" w:color="auto" w:fill="FFFFFF" w:themeFill="background1"/>
          </w:tcPr>
          <w:p w14:paraId="3E478CD9" w14:textId="77777777" w:rsidR="00051396" w:rsidRPr="0077443A" w:rsidRDefault="00051396" w:rsidP="00051396">
            <w:pPr>
              <w:rPr>
                <w:rFonts w:cs="Arial"/>
              </w:rPr>
            </w:pPr>
          </w:p>
          <w:p w14:paraId="29284CE6" w14:textId="4C28660B" w:rsidR="00051396" w:rsidRPr="0077443A" w:rsidRDefault="000B05A4" w:rsidP="00C430AC">
            <w:pPr>
              <w:rPr>
                <w:rFonts w:cs="Arial"/>
              </w:rPr>
            </w:pPr>
            <w:r>
              <w:rPr>
                <w:rFonts w:cs="Arial"/>
              </w:rPr>
              <w:t xml:space="preserve">In progress </w:t>
            </w:r>
          </w:p>
        </w:tc>
      </w:tr>
      <w:tr w:rsidR="00FC294D" w:rsidRPr="0077443A" w14:paraId="21AE3600" w14:textId="77777777" w:rsidTr="004B0C70">
        <w:trPr>
          <w:trHeight w:val="1275"/>
        </w:trPr>
        <w:tc>
          <w:tcPr>
            <w:tcW w:w="550" w:type="dxa"/>
            <w:vMerge/>
          </w:tcPr>
          <w:p w14:paraId="454BB649" w14:textId="77777777" w:rsidR="00FC294D" w:rsidRPr="0077443A" w:rsidRDefault="00FC294D" w:rsidP="00051396">
            <w:pPr>
              <w:jc w:val="center"/>
              <w:rPr>
                <w:rFonts w:cs="Arial"/>
                <w:b/>
                <w:bCs/>
              </w:rPr>
            </w:pPr>
          </w:p>
        </w:tc>
        <w:tc>
          <w:tcPr>
            <w:tcW w:w="2847" w:type="dxa"/>
            <w:vMerge/>
          </w:tcPr>
          <w:p w14:paraId="049CF7B9" w14:textId="77777777" w:rsidR="00FC294D" w:rsidRPr="0077443A" w:rsidRDefault="00FC294D" w:rsidP="00051396">
            <w:pPr>
              <w:rPr>
                <w:rFonts w:cs="Arial"/>
              </w:rPr>
            </w:pPr>
          </w:p>
        </w:tc>
        <w:tc>
          <w:tcPr>
            <w:tcW w:w="4962" w:type="dxa"/>
          </w:tcPr>
          <w:p w14:paraId="4399B4B2" w14:textId="35455D0D" w:rsidR="00FC294D" w:rsidRPr="0077443A" w:rsidRDefault="00FC294D" w:rsidP="003A1637">
            <w:pPr>
              <w:rPr>
                <w:rFonts w:cs="Arial"/>
              </w:rPr>
            </w:pPr>
            <w:r w:rsidRPr="0077443A">
              <w:rPr>
                <w:rFonts w:cs="Arial"/>
              </w:rPr>
              <w:t>Develop a hate crime policy and procedure and associated communications and engagement plan</w:t>
            </w:r>
            <w:r w:rsidR="003A1637" w:rsidRPr="0077443A">
              <w:rPr>
                <w:rFonts w:cs="Arial"/>
              </w:rPr>
              <w:t xml:space="preserve"> to provide clarity on reporting and support processes.</w:t>
            </w:r>
          </w:p>
        </w:tc>
        <w:tc>
          <w:tcPr>
            <w:tcW w:w="3118" w:type="dxa"/>
          </w:tcPr>
          <w:p w14:paraId="7AB5DEF6" w14:textId="08C11329" w:rsidR="00FC294D" w:rsidRPr="0077443A" w:rsidRDefault="00FC294D" w:rsidP="00051396">
            <w:pPr>
              <w:rPr>
                <w:rFonts w:cs="Arial"/>
              </w:rPr>
            </w:pPr>
            <w:r w:rsidRPr="0077443A">
              <w:rPr>
                <w:rFonts w:cs="Arial"/>
              </w:rPr>
              <w:t>Head of Diversity and Inclusion/Staff Network Chairs and members/Associate Director of People Experienc</w:t>
            </w:r>
            <w:r w:rsidR="003A1637" w:rsidRPr="0077443A">
              <w:rPr>
                <w:rFonts w:cs="Arial"/>
              </w:rPr>
              <w:t>e</w:t>
            </w:r>
          </w:p>
        </w:tc>
        <w:tc>
          <w:tcPr>
            <w:tcW w:w="2410" w:type="dxa"/>
            <w:shd w:val="clear" w:color="auto" w:fill="FFFFFF" w:themeFill="background1"/>
          </w:tcPr>
          <w:p w14:paraId="2E377C74" w14:textId="52025D95" w:rsidR="00FC294D" w:rsidRPr="0077443A" w:rsidRDefault="000B05A4" w:rsidP="00051396">
            <w:pPr>
              <w:rPr>
                <w:rFonts w:cs="Arial"/>
              </w:rPr>
            </w:pPr>
            <w:r>
              <w:rPr>
                <w:rFonts w:cs="Arial"/>
              </w:rPr>
              <w:t xml:space="preserve">Complete </w:t>
            </w:r>
          </w:p>
        </w:tc>
      </w:tr>
      <w:tr w:rsidR="00051396" w:rsidRPr="0077443A" w14:paraId="397E9008" w14:textId="77777777" w:rsidTr="004B0C70">
        <w:trPr>
          <w:trHeight w:val="670"/>
        </w:trPr>
        <w:tc>
          <w:tcPr>
            <w:tcW w:w="550" w:type="dxa"/>
            <w:vMerge w:val="restart"/>
          </w:tcPr>
          <w:p w14:paraId="3D8D61CD" w14:textId="77777777" w:rsidR="00051396" w:rsidRPr="0077443A" w:rsidRDefault="00051396" w:rsidP="00051396">
            <w:pPr>
              <w:jc w:val="center"/>
              <w:rPr>
                <w:rFonts w:cs="Arial"/>
                <w:b/>
                <w:bCs/>
              </w:rPr>
            </w:pPr>
            <w:r w:rsidRPr="0077443A">
              <w:rPr>
                <w:rFonts w:cs="Arial"/>
                <w:b/>
                <w:bCs/>
              </w:rPr>
              <w:t>2</w:t>
            </w:r>
          </w:p>
          <w:p w14:paraId="73EDD022" w14:textId="77777777" w:rsidR="00051396" w:rsidRPr="0077443A" w:rsidRDefault="00051396" w:rsidP="00051396">
            <w:pPr>
              <w:jc w:val="center"/>
              <w:rPr>
                <w:rFonts w:cs="Arial"/>
              </w:rPr>
            </w:pPr>
          </w:p>
          <w:p w14:paraId="0556A051" w14:textId="77777777" w:rsidR="00051396" w:rsidRPr="0077443A" w:rsidRDefault="00051396" w:rsidP="00051396">
            <w:pPr>
              <w:jc w:val="center"/>
              <w:rPr>
                <w:rFonts w:cs="Arial"/>
              </w:rPr>
            </w:pPr>
          </w:p>
        </w:tc>
        <w:tc>
          <w:tcPr>
            <w:tcW w:w="2847" w:type="dxa"/>
            <w:vMerge w:val="restart"/>
          </w:tcPr>
          <w:p w14:paraId="6750EF8E" w14:textId="77777777" w:rsidR="00051396" w:rsidRPr="0077443A" w:rsidRDefault="00051396" w:rsidP="00051396">
            <w:pPr>
              <w:rPr>
                <w:rFonts w:cs="Arial"/>
              </w:rPr>
            </w:pPr>
            <w:r w:rsidRPr="0077443A">
              <w:rPr>
                <w:rFonts w:cs="Arial"/>
              </w:rPr>
              <w:t>To develop a culture of inclusion and belonging.</w:t>
            </w:r>
          </w:p>
        </w:tc>
        <w:tc>
          <w:tcPr>
            <w:tcW w:w="4962" w:type="dxa"/>
          </w:tcPr>
          <w:p w14:paraId="27031A44" w14:textId="77777777" w:rsidR="00051396" w:rsidRPr="0077443A" w:rsidRDefault="00051396" w:rsidP="00051396">
            <w:pPr>
              <w:rPr>
                <w:rFonts w:cs="Arial"/>
              </w:rPr>
            </w:pPr>
            <w:r w:rsidRPr="0077443A">
              <w:rPr>
                <w:rFonts w:cs="Arial"/>
              </w:rPr>
              <w:t>Work with system colleagues and staff equality networks to develop a revised cultural calendar. Promoting this widely to ensure all staff are informed and able to get involved in celebrating important inclusion and diversity days with focus on exploring the power of lived experiences and stories.</w:t>
            </w:r>
          </w:p>
          <w:p w14:paraId="3D1369F6" w14:textId="77777777" w:rsidR="00051396" w:rsidRPr="0077443A" w:rsidRDefault="00051396" w:rsidP="00051396">
            <w:pPr>
              <w:rPr>
                <w:rFonts w:cs="Arial"/>
              </w:rPr>
            </w:pPr>
          </w:p>
        </w:tc>
        <w:tc>
          <w:tcPr>
            <w:tcW w:w="3118" w:type="dxa"/>
          </w:tcPr>
          <w:p w14:paraId="2CD4D23E" w14:textId="0FCD7DFD" w:rsidR="00051396" w:rsidRPr="0077443A" w:rsidRDefault="00051396" w:rsidP="00051396">
            <w:pPr>
              <w:rPr>
                <w:rFonts w:cs="Arial"/>
              </w:rPr>
            </w:pPr>
            <w:r w:rsidRPr="0077443A">
              <w:rPr>
                <w:rFonts w:cs="Arial"/>
              </w:rPr>
              <w:t>Head of Diversity and Inclusion/Disability and Wellbeing Network Chair and members</w:t>
            </w:r>
          </w:p>
        </w:tc>
        <w:tc>
          <w:tcPr>
            <w:tcW w:w="2410" w:type="dxa"/>
          </w:tcPr>
          <w:p w14:paraId="7B92601F" w14:textId="38DAAD76" w:rsidR="00051396" w:rsidRPr="0077443A" w:rsidRDefault="000B05A4" w:rsidP="00051396">
            <w:pPr>
              <w:rPr>
                <w:rFonts w:cs="Arial"/>
              </w:rPr>
            </w:pPr>
            <w:r>
              <w:rPr>
                <w:rFonts w:cs="Arial"/>
              </w:rPr>
              <w:t>In progress</w:t>
            </w:r>
          </w:p>
        </w:tc>
      </w:tr>
      <w:tr w:rsidR="00051396" w:rsidRPr="0077443A" w14:paraId="3EA31753" w14:textId="77777777" w:rsidTr="004B0C70">
        <w:trPr>
          <w:trHeight w:val="670"/>
        </w:trPr>
        <w:tc>
          <w:tcPr>
            <w:tcW w:w="550" w:type="dxa"/>
            <w:vMerge/>
          </w:tcPr>
          <w:p w14:paraId="476845AB" w14:textId="77777777" w:rsidR="00051396" w:rsidRPr="0077443A" w:rsidRDefault="00051396" w:rsidP="00051396">
            <w:pPr>
              <w:jc w:val="center"/>
              <w:rPr>
                <w:rFonts w:cs="Arial"/>
                <w:b/>
                <w:bCs/>
              </w:rPr>
            </w:pPr>
          </w:p>
        </w:tc>
        <w:tc>
          <w:tcPr>
            <w:tcW w:w="2847" w:type="dxa"/>
            <w:vMerge/>
          </w:tcPr>
          <w:p w14:paraId="064584E5" w14:textId="77777777" w:rsidR="00051396" w:rsidRPr="0077443A" w:rsidRDefault="00051396" w:rsidP="00051396">
            <w:pPr>
              <w:rPr>
                <w:rFonts w:cs="Arial"/>
              </w:rPr>
            </w:pPr>
          </w:p>
        </w:tc>
        <w:tc>
          <w:tcPr>
            <w:tcW w:w="4962" w:type="dxa"/>
          </w:tcPr>
          <w:p w14:paraId="3407FB84" w14:textId="77777777" w:rsidR="00051396" w:rsidRPr="0077443A" w:rsidRDefault="00051396" w:rsidP="00051396">
            <w:pPr>
              <w:rPr>
                <w:rFonts w:cs="Arial"/>
              </w:rPr>
            </w:pPr>
            <w:r w:rsidRPr="0077443A">
              <w:rPr>
                <w:rFonts w:cs="Arial"/>
              </w:rPr>
              <w:t>Review and develop the dedicated EDI intranet page with EDI related information to increase awareness of our diversity and inclusion priorities, actions and opportunities for involvement.</w:t>
            </w:r>
          </w:p>
          <w:p w14:paraId="3148C4E1" w14:textId="77777777" w:rsidR="00051396" w:rsidRPr="0077443A" w:rsidRDefault="00051396" w:rsidP="00051396">
            <w:pPr>
              <w:rPr>
                <w:rFonts w:cs="Arial"/>
              </w:rPr>
            </w:pPr>
          </w:p>
        </w:tc>
        <w:tc>
          <w:tcPr>
            <w:tcW w:w="3118" w:type="dxa"/>
          </w:tcPr>
          <w:p w14:paraId="4FB5C1FB" w14:textId="77777777" w:rsidR="00051396" w:rsidRPr="0077443A" w:rsidRDefault="00051396" w:rsidP="00051396">
            <w:pPr>
              <w:rPr>
                <w:rFonts w:cs="Arial"/>
              </w:rPr>
            </w:pPr>
            <w:r w:rsidRPr="0077443A">
              <w:rPr>
                <w:rFonts w:cs="Arial"/>
              </w:rPr>
              <w:t>Diversity and Inclusion Project Manager/ Communications Manager</w:t>
            </w:r>
          </w:p>
        </w:tc>
        <w:tc>
          <w:tcPr>
            <w:tcW w:w="2410" w:type="dxa"/>
          </w:tcPr>
          <w:p w14:paraId="0ADF96A6" w14:textId="66681956" w:rsidR="00051396" w:rsidRPr="0077443A" w:rsidRDefault="000B05A4" w:rsidP="00051396">
            <w:pPr>
              <w:rPr>
                <w:rFonts w:cs="Arial"/>
              </w:rPr>
            </w:pPr>
            <w:r>
              <w:rPr>
                <w:rFonts w:cs="Arial"/>
              </w:rPr>
              <w:t>In progress</w:t>
            </w:r>
          </w:p>
        </w:tc>
      </w:tr>
      <w:tr w:rsidR="00051396" w:rsidRPr="0077443A" w14:paraId="207AF2BE" w14:textId="77777777" w:rsidTr="004B0C70">
        <w:tc>
          <w:tcPr>
            <w:tcW w:w="550" w:type="dxa"/>
          </w:tcPr>
          <w:p w14:paraId="6334616B" w14:textId="77777777" w:rsidR="00051396" w:rsidRPr="0077443A" w:rsidRDefault="00051396" w:rsidP="00051396">
            <w:pPr>
              <w:jc w:val="center"/>
              <w:rPr>
                <w:rFonts w:cs="Arial"/>
                <w:b/>
                <w:bCs/>
                <w:highlight w:val="yellow"/>
              </w:rPr>
            </w:pPr>
            <w:r w:rsidRPr="0077443A">
              <w:rPr>
                <w:rFonts w:cs="Arial"/>
                <w:b/>
                <w:bCs/>
              </w:rPr>
              <w:t>3</w:t>
            </w:r>
          </w:p>
        </w:tc>
        <w:tc>
          <w:tcPr>
            <w:tcW w:w="2847" w:type="dxa"/>
          </w:tcPr>
          <w:p w14:paraId="6B8A1F2F" w14:textId="77777777" w:rsidR="00051396" w:rsidRPr="0077443A" w:rsidRDefault="00051396" w:rsidP="00051396">
            <w:pPr>
              <w:rPr>
                <w:rFonts w:cs="Arial"/>
                <w:highlight w:val="yellow"/>
              </w:rPr>
            </w:pPr>
            <w:r w:rsidRPr="0077443A">
              <w:rPr>
                <w:rFonts w:cs="Arial"/>
              </w:rPr>
              <w:t xml:space="preserve">Ensure that all staff have access to a thriving staff equality network, providing our diverse staff with a </w:t>
            </w:r>
            <w:r w:rsidRPr="0077443A">
              <w:rPr>
                <w:rFonts w:cs="Arial"/>
              </w:rPr>
              <w:lastRenderedPageBreak/>
              <w:t>mechanism to influence change.</w:t>
            </w:r>
          </w:p>
        </w:tc>
        <w:tc>
          <w:tcPr>
            <w:tcW w:w="4962" w:type="dxa"/>
          </w:tcPr>
          <w:p w14:paraId="6ABCE884" w14:textId="77777777" w:rsidR="00F02B8A" w:rsidRPr="0077443A" w:rsidRDefault="00F02B8A" w:rsidP="00F02B8A">
            <w:pPr>
              <w:spacing w:after="200" w:line="276" w:lineRule="auto"/>
              <w:rPr>
                <w:rFonts w:cs="Arial"/>
              </w:rPr>
            </w:pPr>
            <w:r w:rsidRPr="0077443A">
              <w:rPr>
                <w:rFonts w:cs="Arial"/>
              </w:rPr>
              <w:lastRenderedPageBreak/>
              <w:t>Develop a blue-print plan for continued development of staff network chairs/networks aligned to our People Plan priorities and regional and national equality and diversity ambitions.</w:t>
            </w:r>
          </w:p>
          <w:p w14:paraId="2CDB3BB2" w14:textId="76DA66DD" w:rsidR="00051396" w:rsidRPr="0077443A" w:rsidRDefault="00051396" w:rsidP="00051396">
            <w:pPr>
              <w:rPr>
                <w:rFonts w:cs="Arial"/>
                <w:highlight w:val="yellow"/>
              </w:rPr>
            </w:pPr>
          </w:p>
        </w:tc>
        <w:tc>
          <w:tcPr>
            <w:tcW w:w="3118" w:type="dxa"/>
          </w:tcPr>
          <w:p w14:paraId="718DEB9C" w14:textId="7FD247FB" w:rsidR="00051396" w:rsidRPr="0077443A" w:rsidRDefault="000B05A4" w:rsidP="00051396">
            <w:pPr>
              <w:rPr>
                <w:rFonts w:cs="Arial"/>
              </w:rPr>
            </w:pPr>
            <w:r>
              <w:rPr>
                <w:rFonts w:cs="Arial"/>
              </w:rPr>
              <w:lastRenderedPageBreak/>
              <w:t xml:space="preserve">Head of Engagement / </w:t>
            </w:r>
            <w:r w:rsidR="00EC44F0" w:rsidRPr="0077443A">
              <w:rPr>
                <w:rFonts w:cs="Arial"/>
              </w:rPr>
              <w:t>Disability and Wellbeing Network chairs.</w:t>
            </w:r>
          </w:p>
        </w:tc>
        <w:tc>
          <w:tcPr>
            <w:tcW w:w="2410" w:type="dxa"/>
            <w:shd w:val="clear" w:color="auto" w:fill="FFFFFF" w:themeFill="background1"/>
          </w:tcPr>
          <w:p w14:paraId="6C94B89B" w14:textId="579E70F3" w:rsidR="00051396" w:rsidRPr="0077443A" w:rsidRDefault="000B05A4" w:rsidP="00051396">
            <w:pPr>
              <w:rPr>
                <w:rFonts w:cs="Arial"/>
                <w:highlight w:val="yellow"/>
              </w:rPr>
            </w:pPr>
            <w:r>
              <w:rPr>
                <w:rFonts w:cs="Arial"/>
              </w:rPr>
              <w:t>In progress</w:t>
            </w:r>
          </w:p>
        </w:tc>
      </w:tr>
    </w:tbl>
    <w:p w14:paraId="27BF342C" w14:textId="77777777" w:rsidR="00051396" w:rsidRPr="0077443A" w:rsidRDefault="00051396" w:rsidP="00051396">
      <w:pPr>
        <w:spacing w:after="200" w:line="276" w:lineRule="auto"/>
        <w:jc w:val="center"/>
        <w:rPr>
          <w:rFonts w:eastAsiaTheme="minorHAnsi" w:cs="Arial"/>
        </w:rPr>
      </w:pPr>
    </w:p>
    <w:p w14:paraId="7EE3F873" w14:textId="77777777" w:rsidR="004218DB" w:rsidRPr="0077443A" w:rsidRDefault="004218DB" w:rsidP="00F534DD">
      <w:pPr>
        <w:spacing w:line="276" w:lineRule="auto"/>
        <w:rPr>
          <w:rFonts w:cs="Arial"/>
        </w:rPr>
      </w:pPr>
    </w:p>
    <w:p w14:paraId="4C145BCE" w14:textId="77777777" w:rsidR="00357A8A" w:rsidRPr="0077443A" w:rsidRDefault="00357A8A" w:rsidP="00357A8A">
      <w:pPr>
        <w:rPr>
          <w:rFonts w:cs="Arial"/>
          <w:bCs/>
        </w:rPr>
      </w:pPr>
    </w:p>
    <w:p w14:paraId="2B9C9076" w14:textId="77777777" w:rsidR="00357A8A" w:rsidRPr="0077443A" w:rsidRDefault="00357A8A" w:rsidP="00357A8A">
      <w:pPr>
        <w:rPr>
          <w:rFonts w:cs="Arial"/>
          <w:bCs/>
        </w:rPr>
      </w:pPr>
    </w:p>
    <w:p w14:paraId="580A90E2" w14:textId="1BC45900" w:rsidR="00A85627" w:rsidRPr="0077443A" w:rsidRDefault="00A85627" w:rsidP="00F534DD">
      <w:pPr>
        <w:spacing w:line="276" w:lineRule="auto"/>
        <w:rPr>
          <w:rFonts w:cs="Arial"/>
          <w:b/>
        </w:rPr>
      </w:pPr>
      <w:bookmarkStart w:id="2" w:name="_Hlk138257937"/>
      <w:bookmarkEnd w:id="2"/>
    </w:p>
    <w:sectPr w:rsidR="00A85627" w:rsidRPr="0077443A" w:rsidSect="003A2FA3">
      <w:pgSz w:w="16838" w:h="11906" w:orient="landscape" w:code="9"/>
      <w:pgMar w:top="851" w:right="1134" w:bottom="567" w:left="1440" w:header="90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D3D6E" w14:textId="77777777" w:rsidR="00602B7F" w:rsidRDefault="00602B7F">
      <w:r>
        <w:separator/>
      </w:r>
    </w:p>
  </w:endnote>
  <w:endnote w:type="continuationSeparator" w:id="0">
    <w:p w14:paraId="71FDDF42" w14:textId="77777777" w:rsidR="00602B7F" w:rsidRDefault="0060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moder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79531"/>
      <w:docPartObj>
        <w:docPartGallery w:val="Page Numbers (Bottom of Page)"/>
        <w:docPartUnique/>
      </w:docPartObj>
    </w:sdtPr>
    <w:sdtEndPr>
      <w:rPr>
        <w:noProof/>
      </w:rPr>
    </w:sdtEndPr>
    <w:sdtContent>
      <w:p w14:paraId="3F9239AB" w14:textId="28027650" w:rsidR="00F81B50" w:rsidRDefault="00F81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3CF22" w14:textId="77777777" w:rsidR="00D54CEB" w:rsidRDefault="00D54C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97B4" w14:textId="77777777" w:rsidR="00362A5F" w:rsidRDefault="008C7B92" w:rsidP="00406F09">
    <w:pPr>
      <w:pStyle w:val="Footer"/>
    </w:pPr>
    <w:r>
      <w:rPr>
        <w:noProof/>
        <w:lang w:eastAsia="en-GB"/>
      </w:rPr>
      <w:drawing>
        <wp:anchor distT="0" distB="0" distL="114300" distR="114300" simplePos="0" relativeHeight="251660800" behindDoc="1" locked="0" layoutInCell="1" allowOverlap="1" wp14:anchorId="77B881E0" wp14:editId="7C5B5865">
          <wp:simplePos x="0" y="0"/>
          <wp:positionH relativeFrom="page">
            <wp:posOffset>360045</wp:posOffset>
          </wp:positionH>
          <wp:positionV relativeFrom="page">
            <wp:posOffset>9973310</wp:posOffset>
          </wp:positionV>
          <wp:extent cx="6867000" cy="361440"/>
          <wp:effectExtent l="0" t="0" r="0" b="635"/>
          <wp:wrapNone/>
          <wp:docPr id="1868919372" name="Picture 186891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x10 Footer.jpg"/>
                  <pic:cNvPicPr/>
                </pic:nvPicPr>
                <pic:blipFill>
                  <a:blip r:embed="rId1">
                    <a:extLst>
                      <a:ext uri="{28A0092B-C50C-407E-A947-70E740481C1C}">
                        <a14:useLocalDpi xmlns:a14="http://schemas.microsoft.com/office/drawing/2010/main" val="0"/>
                      </a:ext>
                    </a:extLst>
                  </a:blip>
                  <a:stretch>
                    <a:fillRect/>
                  </a:stretch>
                </pic:blipFill>
                <pic:spPr>
                  <a:xfrm>
                    <a:off x="0" y="0"/>
                    <a:ext cx="6867000" cy="3614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9751B" w14:textId="77777777" w:rsidR="00602B7F" w:rsidRDefault="00602B7F">
      <w:r>
        <w:separator/>
      </w:r>
    </w:p>
  </w:footnote>
  <w:footnote w:type="continuationSeparator" w:id="0">
    <w:p w14:paraId="041FE24B" w14:textId="77777777" w:rsidR="00602B7F" w:rsidRDefault="0060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3458" w14:textId="77777777" w:rsidR="008E439C" w:rsidRDefault="006B7A41">
    <w:pPr>
      <w:pStyle w:val="Header"/>
    </w:pPr>
    <w:r>
      <w:rPr>
        <w:noProof/>
        <w:lang w:eastAsia="en-GB"/>
      </w:rPr>
      <w:drawing>
        <wp:anchor distT="0" distB="0" distL="114300" distR="114300" simplePos="0" relativeHeight="251661824" behindDoc="1" locked="0" layoutInCell="1" allowOverlap="1" wp14:anchorId="3DB0A00B" wp14:editId="3BF8A275">
          <wp:simplePos x="0" y="0"/>
          <wp:positionH relativeFrom="column">
            <wp:posOffset>2754630</wp:posOffset>
          </wp:positionH>
          <wp:positionV relativeFrom="paragraph">
            <wp:posOffset>-575611</wp:posOffset>
          </wp:positionV>
          <wp:extent cx="4261680" cy="1913400"/>
          <wp:effectExtent l="0" t="0" r="0" b="0"/>
          <wp:wrapNone/>
          <wp:docPr id="1318591021" name="Picture 131859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PFT -Small-Logo-RGB-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61680" cy="1913400"/>
                  </a:xfrm>
                  <a:prstGeom prst="rect">
                    <a:avLst/>
                  </a:prstGeom>
                </pic:spPr>
              </pic:pic>
            </a:graphicData>
          </a:graphic>
          <wp14:sizeRelH relativeFrom="margin">
            <wp14:pctWidth>0</wp14:pctWidth>
          </wp14:sizeRelH>
          <wp14:sizeRelV relativeFrom="margin">
            <wp14:pctHeight>0</wp14:pctHeight>
          </wp14:sizeRelV>
        </wp:anchor>
      </w:drawing>
    </w:r>
    <w:r w:rsidR="00AE2A48">
      <w:rPr>
        <w:noProof/>
        <w:lang w:eastAsia="en-GB"/>
      </w:rPr>
      <mc:AlternateContent>
        <mc:Choice Requires="wps">
          <w:drawing>
            <wp:anchor distT="0" distB="0" distL="114300" distR="114300" simplePos="0" relativeHeight="251658752" behindDoc="0" locked="0" layoutInCell="1" allowOverlap="1" wp14:anchorId="4C7D41E3" wp14:editId="7C558411">
              <wp:simplePos x="0" y="0"/>
              <wp:positionH relativeFrom="page">
                <wp:posOffset>354330</wp:posOffset>
              </wp:positionH>
              <wp:positionV relativeFrom="page">
                <wp:posOffset>1432560</wp:posOffset>
              </wp:positionV>
              <wp:extent cx="6840220" cy="0"/>
              <wp:effectExtent l="20955" t="22860" r="15875" b="2476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lgn="ctr">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470F7E5"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27.9pt,112.8pt" to="566.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" strokecolor="#005eb8"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0685"/>
    <w:multiLevelType w:val="hybridMultilevel"/>
    <w:tmpl w:val="93ACC788"/>
    <w:lvl w:ilvl="0" w:tplc="82FA237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7218D"/>
    <w:multiLevelType w:val="hybridMultilevel"/>
    <w:tmpl w:val="3FF4C0E6"/>
    <w:lvl w:ilvl="0" w:tplc="AD24C9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A7584"/>
    <w:multiLevelType w:val="hybridMultilevel"/>
    <w:tmpl w:val="3618A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A56F7"/>
    <w:multiLevelType w:val="hybridMultilevel"/>
    <w:tmpl w:val="D540A0AE"/>
    <w:lvl w:ilvl="0" w:tplc="D3AE77F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0127D"/>
    <w:multiLevelType w:val="hybridMultilevel"/>
    <w:tmpl w:val="139A4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048F9"/>
    <w:multiLevelType w:val="hybridMultilevel"/>
    <w:tmpl w:val="7DB61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A2A6B"/>
    <w:multiLevelType w:val="hybridMultilevel"/>
    <w:tmpl w:val="0D92D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A365B"/>
    <w:multiLevelType w:val="hybridMultilevel"/>
    <w:tmpl w:val="A8F2C21A"/>
    <w:lvl w:ilvl="0" w:tplc="320093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817486"/>
    <w:multiLevelType w:val="hybridMultilevel"/>
    <w:tmpl w:val="36F02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2A3476"/>
    <w:multiLevelType w:val="hybridMultilevel"/>
    <w:tmpl w:val="AC32777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3886377"/>
    <w:multiLevelType w:val="hybridMultilevel"/>
    <w:tmpl w:val="1E10C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0B32FB"/>
    <w:multiLevelType w:val="hybridMultilevel"/>
    <w:tmpl w:val="B6D0F4EC"/>
    <w:lvl w:ilvl="0" w:tplc="F63888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B5C7B"/>
    <w:multiLevelType w:val="hybridMultilevel"/>
    <w:tmpl w:val="40D0C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954A4"/>
    <w:multiLevelType w:val="hybridMultilevel"/>
    <w:tmpl w:val="AF1095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361E58B0"/>
    <w:multiLevelType w:val="hybridMultilevel"/>
    <w:tmpl w:val="3AEE2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0C56EA"/>
    <w:multiLevelType w:val="hybridMultilevel"/>
    <w:tmpl w:val="7F14AF2E"/>
    <w:lvl w:ilvl="0" w:tplc="BB622A34">
      <w:start w:val="200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E4C9B"/>
    <w:multiLevelType w:val="hybridMultilevel"/>
    <w:tmpl w:val="6ADC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55D06"/>
    <w:multiLevelType w:val="hybridMultilevel"/>
    <w:tmpl w:val="A51E22AA"/>
    <w:lvl w:ilvl="0" w:tplc="0C3CCF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5C50D8"/>
    <w:multiLevelType w:val="multilevel"/>
    <w:tmpl w:val="8166C7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9071AC"/>
    <w:multiLevelType w:val="hybridMultilevel"/>
    <w:tmpl w:val="5A667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D51E82"/>
    <w:multiLevelType w:val="hybridMultilevel"/>
    <w:tmpl w:val="395C11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4556F"/>
    <w:multiLevelType w:val="hybridMultilevel"/>
    <w:tmpl w:val="8592B46C"/>
    <w:lvl w:ilvl="0" w:tplc="1172C2B0">
      <w:start w:val="6"/>
      <w:numFmt w:val="decimal"/>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F257B5"/>
    <w:multiLevelType w:val="hybridMultilevel"/>
    <w:tmpl w:val="EABA7854"/>
    <w:lvl w:ilvl="0" w:tplc="EF7C13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0F6542"/>
    <w:multiLevelType w:val="hybridMultilevel"/>
    <w:tmpl w:val="CD00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A3A7B"/>
    <w:multiLevelType w:val="hybridMultilevel"/>
    <w:tmpl w:val="E604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2773E"/>
    <w:multiLevelType w:val="hybridMultilevel"/>
    <w:tmpl w:val="654475A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7B93B86"/>
    <w:multiLevelType w:val="hybridMultilevel"/>
    <w:tmpl w:val="9DEA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D09AF"/>
    <w:multiLevelType w:val="hybridMultilevel"/>
    <w:tmpl w:val="7D767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6D036B"/>
    <w:multiLevelType w:val="hybridMultilevel"/>
    <w:tmpl w:val="C3EE3E9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53FB1782"/>
    <w:multiLevelType w:val="hybridMultilevel"/>
    <w:tmpl w:val="48BEFA28"/>
    <w:lvl w:ilvl="0" w:tplc="CD223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5B5355"/>
    <w:multiLevelType w:val="hybridMultilevel"/>
    <w:tmpl w:val="46E64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0C0852"/>
    <w:multiLevelType w:val="hybridMultilevel"/>
    <w:tmpl w:val="089CC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551EC0"/>
    <w:multiLevelType w:val="hybridMultilevel"/>
    <w:tmpl w:val="B4EC4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363F44"/>
    <w:multiLevelType w:val="hybridMultilevel"/>
    <w:tmpl w:val="A648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12169"/>
    <w:multiLevelType w:val="hybridMultilevel"/>
    <w:tmpl w:val="7C10F546"/>
    <w:lvl w:ilvl="0" w:tplc="B6B25BB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97437C"/>
    <w:multiLevelType w:val="hybridMultilevel"/>
    <w:tmpl w:val="6C2088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FD92ADD"/>
    <w:multiLevelType w:val="hybridMultilevel"/>
    <w:tmpl w:val="599C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246FBD"/>
    <w:multiLevelType w:val="hybridMultilevel"/>
    <w:tmpl w:val="0CB4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C0344"/>
    <w:multiLevelType w:val="hybridMultilevel"/>
    <w:tmpl w:val="C234E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60544"/>
    <w:multiLevelType w:val="hybridMultilevel"/>
    <w:tmpl w:val="B1BC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F1329"/>
    <w:multiLevelType w:val="hybridMultilevel"/>
    <w:tmpl w:val="2DF46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D7F4CAD"/>
    <w:multiLevelType w:val="hybridMultilevel"/>
    <w:tmpl w:val="62FCF0FA"/>
    <w:lvl w:ilvl="0" w:tplc="63FC27A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22194">
    <w:abstractNumId w:val="5"/>
  </w:num>
  <w:num w:numId="2" w16cid:durableId="1281448333">
    <w:abstractNumId w:val="15"/>
  </w:num>
  <w:num w:numId="3" w16cid:durableId="4314374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735291">
    <w:abstractNumId w:val="33"/>
  </w:num>
  <w:num w:numId="5" w16cid:durableId="23790515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267884">
    <w:abstractNumId w:val="31"/>
  </w:num>
  <w:num w:numId="7" w16cid:durableId="1285304350">
    <w:abstractNumId w:val="30"/>
  </w:num>
  <w:num w:numId="8" w16cid:durableId="1745830932">
    <w:abstractNumId w:val="14"/>
  </w:num>
  <w:num w:numId="9" w16cid:durableId="1978216453">
    <w:abstractNumId w:val="32"/>
  </w:num>
  <w:num w:numId="10" w16cid:durableId="1779644008">
    <w:abstractNumId w:val="12"/>
  </w:num>
  <w:num w:numId="11" w16cid:durableId="190387629">
    <w:abstractNumId w:val="28"/>
  </w:num>
  <w:num w:numId="12" w16cid:durableId="1185708177">
    <w:abstractNumId w:val="27"/>
  </w:num>
  <w:num w:numId="13" w16cid:durableId="1276670098">
    <w:abstractNumId w:val="11"/>
  </w:num>
  <w:num w:numId="14" w16cid:durableId="863664936">
    <w:abstractNumId w:val="20"/>
  </w:num>
  <w:num w:numId="15" w16cid:durableId="2004770152">
    <w:abstractNumId w:val="18"/>
  </w:num>
  <w:num w:numId="16" w16cid:durableId="1826362226">
    <w:abstractNumId w:val="22"/>
  </w:num>
  <w:num w:numId="17" w16cid:durableId="211382470">
    <w:abstractNumId w:val="21"/>
  </w:num>
  <w:num w:numId="18" w16cid:durableId="614287144">
    <w:abstractNumId w:val="13"/>
  </w:num>
  <w:num w:numId="19" w16cid:durableId="5625203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739983">
    <w:abstractNumId w:val="40"/>
  </w:num>
  <w:num w:numId="21" w16cid:durableId="2092581228">
    <w:abstractNumId w:val="35"/>
  </w:num>
  <w:num w:numId="22" w16cid:durableId="3098865">
    <w:abstractNumId w:val="4"/>
  </w:num>
  <w:num w:numId="23" w16cid:durableId="604577335">
    <w:abstractNumId w:val="8"/>
  </w:num>
  <w:num w:numId="24" w16cid:durableId="50816253">
    <w:abstractNumId w:val="10"/>
  </w:num>
  <w:num w:numId="25" w16cid:durableId="293679235">
    <w:abstractNumId w:val="19"/>
  </w:num>
  <w:num w:numId="26" w16cid:durableId="1252658766">
    <w:abstractNumId w:val="26"/>
  </w:num>
  <w:num w:numId="27" w16cid:durableId="344400994">
    <w:abstractNumId w:val="37"/>
  </w:num>
  <w:num w:numId="28" w16cid:durableId="2053531980">
    <w:abstractNumId w:val="29"/>
  </w:num>
  <w:num w:numId="29" w16cid:durableId="1147361328">
    <w:abstractNumId w:val="3"/>
  </w:num>
  <w:num w:numId="30" w16cid:durableId="961611160">
    <w:abstractNumId w:val="1"/>
  </w:num>
  <w:num w:numId="31" w16cid:durableId="1195924455">
    <w:abstractNumId w:val="17"/>
  </w:num>
  <w:num w:numId="32" w16cid:durableId="1835607413">
    <w:abstractNumId w:val="41"/>
  </w:num>
  <w:num w:numId="33" w16cid:durableId="1878927044">
    <w:abstractNumId w:val="36"/>
  </w:num>
  <w:num w:numId="34" w16cid:durableId="1919974690">
    <w:abstractNumId w:val="24"/>
  </w:num>
  <w:num w:numId="35" w16cid:durableId="800659885">
    <w:abstractNumId w:val="23"/>
  </w:num>
  <w:num w:numId="36" w16cid:durableId="103354213">
    <w:abstractNumId w:val="16"/>
  </w:num>
  <w:num w:numId="37" w16cid:durableId="804586992">
    <w:abstractNumId w:val="2"/>
  </w:num>
  <w:num w:numId="38" w16cid:durableId="1544562493">
    <w:abstractNumId w:val="39"/>
  </w:num>
  <w:num w:numId="39" w16cid:durableId="1051973">
    <w:abstractNumId w:val="34"/>
  </w:num>
  <w:num w:numId="40" w16cid:durableId="921108497">
    <w:abstractNumId w:val="0"/>
  </w:num>
  <w:num w:numId="41" w16cid:durableId="1214274399">
    <w:abstractNumId w:val="7"/>
  </w:num>
  <w:num w:numId="42" w16cid:durableId="1023021715">
    <w:abstractNumId w:val="38"/>
  </w:num>
  <w:num w:numId="43" w16cid:durableId="1706170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5e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1B"/>
    <w:rsid w:val="00002BF9"/>
    <w:rsid w:val="00004249"/>
    <w:rsid w:val="00005D8D"/>
    <w:rsid w:val="00005F65"/>
    <w:rsid w:val="00007973"/>
    <w:rsid w:val="000133A8"/>
    <w:rsid w:val="00013D3C"/>
    <w:rsid w:val="0001410C"/>
    <w:rsid w:val="00014FEA"/>
    <w:rsid w:val="0002074E"/>
    <w:rsid w:val="000223A7"/>
    <w:rsid w:val="0002286C"/>
    <w:rsid w:val="00024F2F"/>
    <w:rsid w:val="000252AF"/>
    <w:rsid w:val="000256DF"/>
    <w:rsid w:val="00026965"/>
    <w:rsid w:val="0003077F"/>
    <w:rsid w:val="00031110"/>
    <w:rsid w:val="000317C1"/>
    <w:rsid w:val="00031941"/>
    <w:rsid w:val="0003279D"/>
    <w:rsid w:val="00032EDF"/>
    <w:rsid w:val="000336D3"/>
    <w:rsid w:val="000345A8"/>
    <w:rsid w:val="00034DB3"/>
    <w:rsid w:val="000408E7"/>
    <w:rsid w:val="0004248E"/>
    <w:rsid w:val="00047849"/>
    <w:rsid w:val="00050728"/>
    <w:rsid w:val="00050B39"/>
    <w:rsid w:val="0005111A"/>
    <w:rsid w:val="00051172"/>
    <w:rsid w:val="00051396"/>
    <w:rsid w:val="000538BC"/>
    <w:rsid w:val="00056FCA"/>
    <w:rsid w:val="00057EA9"/>
    <w:rsid w:val="0006278F"/>
    <w:rsid w:val="000639C3"/>
    <w:rsid w:val="00071D79"/>
    <w:rsid w:val="000756FF"/>
    <w:rsid w:val="00077FF0"/>
    <w:rsid w:val="000810E8"/>
    <w:rsid w:val="0008369C"/>
    <w:rsid w:val="000858D9"/>
    <w:rsid w:val="000874FB"/>
    <w:rsid w:val="00091361"/>
    <w:rsid w:val="00091745"/>
    <w:rsid w:val="00091DEB"/>
    <w:rsid w:val="000927F2"/>
    <w:rsid w:val="00097805"/>
    <w:rsid w:val="000A5311"/>
    <w:rsid w:val="000A69C9"/>
    <w:rsid w:val="000B05A4"/>
    <w:rsid w:val="000B06E0"/>
    <w:rsid w:val="000B122B"/>
    <w:rsid w:val="000B6276"/>
    <w:rsid w:val="000B6824"/>
    <w:rsid w:val="000B6D5E"/>
    <w:rsid w:val="000C144C"/>
    <w:rsid w:val="000C2221"/>
    <w:rsid w:val="000C3DD9"/>
    <w:rsid w:val="000C459E"/>
    <w:rsid w:val="000C6EA9"/>
    <w:rsid w:val="000D0914"/>
    <w:rsid w:val="000E0E95"/>
    <w:rsid w:val="000E231F"/>
    <w:rsid w:val="000E38E8"/>
    <w:rsid w:val="000E7043"/>
    <w:rsid w:val="000F3E9E"/>
    <w:rsid w:val="000F586C"/>
    <w:rsid w:val="000F7646"/>
    <w:rsid w:val="00101193"/>
    <w:rsid w:val="00103CA9"/>
    <w:rsid w:val="00104823"/>
    <w:rsid w:val="00104C50"/>
    <w:rsid w:val="00107961"/>
    <w:rsid w:val="00113017"/>
    <w:rsid w:val="00115514"/>
    <w:rsid w:val="001232A5"/>
    <w:rsid w:val="0012371A"/>
    <w:rsid w:val="00123A64"/>
    <w:rsid w:val="00126905"/>
    <w:rsid w:val="00126B15"/>
    <w:rsid w:val="00126BA4"/>
    <w:rsid w:val="00133E40"/>
    <w:rsid w:val="00141179"/>
    <w:rsid w:val="0014500F"/>
    <w:rsid w:val="00150830"/>
    <w:rsid w:val="00151715"/>
    <w:rsid w:val="001534D9"/>
    <w:rsid w:val="00154E39"/>
    <w:rsid w:val="00154F77"/>
    <w:rsid w:val="00156C50"/>
    <w:rsid w:val="00160227"/>
    <w:rsid w:val="00160401"/>
    <w:rsid w:val="00162286"/>
    <w:rsid w:val="001629CB"/>
    <w:rsid w:val="001630BE"/>
    <w:rsid w:val="0016691D"/>
    <w:rsid w:val="0017220E"/>
    <w:rsid w:val="00172AC9"/>
    <w:rsid w:val="00181FD5"/>
    <w:rsid w:val="00183987"/>
    <w:rsid w:val="001840BF"/>
    <w:rsid w:val="00184A0B"/>
    <w:rsid w:val="00185E89"/>
    <w:rsid w:val="0018758B"/>
    <w:rsid w:val="001919AE"/>
    <w:rsid w:val="001A1269"/>
    <w:rsid w:val="001A210B"/>
    <w:rsid w:val="001A2889"/>
    <w:rsid w:val="001A38C8"/>
    <w:rsid w:val="001A3CE6"/>
    <w:rsid w:val="001A3D3D"/>
    <w:rsid w:val="001A58CE"/>
    <w:rsid w:val="001B2EE7"/>
    <w:rsid w:val="001B38B2"/>
    <w:rsid w:val="001B3FB2"/>
    <w:rsid w:val="001B544A"/>
    <w:rsid w:val="001B5AFA"/>
    <w:rsid w:val="001B7B58"/>
    <w:rsid w:val="001C0B0D"/>
    <w:rsid w:val="001C3A54"/>
    <w:rsid w:val="001C6B5B"/>
    <w:rsid w:val="001C6D41"/>
    <w:rsid w:val="001D09BF"/>
    <w:rsid w:val="001D72C0"/>
    <w:rsid w:val="001D7507"/>
    <w:rsid w:val="001D77F8"/>
    <w:rsid w:val="001E0A9A"/>
    <w:rsid w:val="001E0E88"/>
    <w:rsid w:val="001E1699"/>
    <w:rsid w:val="001E16DB"/>
    <w:rsid w:val="001E7310"/>
    <w:rsid w:val="001F135F"/>
    <w:rsid w:val="001F1BC4"/>
    <w:rsid w:val="001F4F8B"/>
    <w:rsid w:val="00200459"/>
    <w:rsid w:val="002006C1"/>
    <w:rsid w:val="00200720"/>
    <w:rsid w:val="002014E4"/>
    <w:rsid w:val="002044B1"/>
    <w:rsid w:val="00207AF3"/>
    <w:rsid w:val="002171C1"/>
    <w:rsid w:val="00217720"/>
    <w:rsid w:val="002260D8"/>
    <w:rsid w:val="00226670"/>
    <w:rsid w:val="002318E9"/>
    <w:rsid w:val="002347E2"/>
    <w:rsid w:val="002372C4"/>
    <w:rsid w:val="002376ED"/>
    <w:rsid w:val="00241FB9"/>
    <w:rsid w:val="0024650A"/>
    <w:rsid w:val="0024720C"/>
    <w:rsid w:val="00247962"/>
    <w:rsid w:val="00254B0D"/>
    <w:rsid w:val="00256E3C"/>
    <w:rsid w:val="00256EA1"/>
    <w:rsid w:val="002578A0"/>
    <w:rsid w:val="002615A8"/>
    <w:rsid w:val="00261804"/>
    <w:rsid w:val="00265CE5"/>
    <w:rsid w:val="00266BC0"/>
    <w:rsid w:val="00267FD9"/>
    <w:rsid w:val="0027053D"/>
    <w:rsid w:val="00274ABC"/>
    <w:rsid w:val="00275224"/>
    <w:rsid w:val="0027633C"/>
    <w:rsid w:val="00277D34"/>
    <w:rsid w:val="0028306F"/>
    <w:rsid w:val="00285C34"/>
    <w:rsid w:val="00286734"/>
    <w:rsid w:val="002913DF"/>
    <w:rsid w:val="00291682"/>
    <w:rsid w:val="00291D8A"/>
    <w:rsid w:val="002927CB"/>
    <w:rsid w:val="002939FC"/>
    <w:rsid w:val="00293A11"/>
    <w:rsid w:val="00295442"/>
    <w:rsid w:val="002A0751"/>
    <w:rsid w:val="002A63FB"/>
    <w:rsid w:val="002A7CFE"/>
    <w:rsid w:val="002B08AD"/>
    <w:rsid w:val="002B1366"/>
    <w:rsid w:val="002B1CBD"/>
    <w:rsid w:val="002B69A2"/>
    <w:rsid w:val="002B752E"/>
    <w:rsid w:val="002C06E3"/>
    <w:rsid w:val="002C101D"/>
    <w:rsid w:val="002C1F5E"/>
    <w:rsid w:val="002C3B5D"/>
    <w:rsid w:val="002C7D83"/>
    <w:rsid w:val="002D4E62"/>
    <w:rsid w:val="002D5240"/>
    <w:rsid w:val="002D6514"/>
    <w:rsid w:val="002E02C6"/>
    <w:rsid w:val="002E28B8"/>
    <w:rsid w:val="002E4554"/>
    <w:rsid w:val="002E464C"/>
    <w:rsid w:val="002E5071"/>
    <w:rsid w:val="002E6535"/>
    <w:rsid w:val="002E7C73"/>
    <w:rsid w:val="002F20B1"/>
    <w:rsid w:val="002F5C38"/>
    <w:rsid w:val="002F6316"/>
    <w:rsid w:val="00300691"/>
    <w:rsid w:val="00300D7C"/>
    <w:rsid w:val="00302843"/>
    <w:rsid w:val="00302946"/>
    <w:rsid w:val="00304013"/>
    <w:rsid w:val="00304587"/>
    <w:rsid w:val="00306418"/>
    <w:rsid w:val="00306620"/>
    <w:rsid w:val="00306D02"/>
    <w:rsid w:val="00306EEC"/>
    <w:rsid w:val="0031068C"/>
    <w:rsid w:val="00312D31"/>
    <w:rsid w:val="00314E5A"/>
    <w:rsid w:val="003159E7"/>
    <w:rsid w:val="00316A11"/>
    <w:rsid w:val="003178C4"/>
    <w:rsid w:val="0032330A"/>
    <w:rsid w:val="003312E4"/>
    <w:rsid w:val="003327D9"/>
    <w:rsid w:val="00332B83"/>
    <w:rsid w:val="00333ED3"/>
    <w:rsid w:val="00334EDA"/>
    <w:rsid w:val="00336396"/>
    <w:rsid w:val="00337E5E"/>
    <w:rsid w:val="00341F60"/>
    <w:rsid w:val="003440FC"/>
    <w:rsid w:val="0034549F"/>
    <w:rsid w:val="003471EE"/>
    <w:rsid w:val="00350120"/>
    <w:rsid w:val="00352627"/>
    <w:rsid w:val="00352B01"/>
    <w:rsid w:val="00353BC5"/>
    <w:rsid w:val="00357A2A"/>
    <w:rsid w:val="00357A8A"/>
    <w:rsid w:val="00357EAA"/>
    <w:rsid w:val="00357FB2"/>
    <w:rsid w:val="00361C31"/>
    <w:rsid w:val="00362A56"/>
    <w:rsid w:val="00362A5F"/>
    <w:rsid w:val="003647C3"/>
    <w:rsid w:val="00366D3D"/>
    <w:rsid w:val="00367206"/>
    <w:rsid w:val="003739CB"/>
    <w:rsid w:val="00375AAE"/>
    <w:rsid w:val="00380EE7"/>
    <w:rsid w:val="003822FF"/>
    <w:rsid w:val="00385924"/>
    <w:rsid w:val="0039163C"/>
    <w:rsid w:val="00392D60"/>
    <w:rsid w:val="00394722"/>
    <w:rsid w:val="0039697C"/>
    <w:rsid w:val="003A1637"/>
    <w:rsid w:val="003A24B7"/>
    <w:rsid w:val="003A2FA3"/>
    <w:rsid w:val="003A3181"/>
    <w:rsid w:val="003A4176"/>
    <w:rsid w:val="003A474B"/>
    <w:rsid w:val="003A59BA"/>
    <w:rsid w:val="003A674F"/>
    <w:rsid w:val="003A69E1"/>
    <w:rsid w:val="003A7028"/>
    <w:rsid w:val="003B1B18"/>
    <w:rsid w:val="003B460A"/>
    <w:rsid w:val="003B460D"/>
    <w:rsid w:val="003B6600"/>
    <w:rsid w:val="003C119D"/>
    <w:rsid w:val="003C4869"/>
    <w:rsid w:val="003D218C"/>
    <w:rsid w:val="003D2E2A"/>
    <w:rsid w:val="003D4099"/>
    <w:rsid w:val="003E23D8"/>
    <w:rsid w:val="003E42E6"/>
    <w:rsid w:val="003E51B5"/>
    <w:rsid w:val="003E756F"/>
    <w:rsid w:val="003F3637"/>
    <w:rsid w:val="003F44B2"/>
    <w:rsid w:val="003F53A3"/>
    <w:rsid w:val="003F6F33"/>
    <w:rsid w:val="00400DA3"/>
    <w:rsid w:val="00403F72"/>
    <w:rsid w:val="00406F09"/>
    <w:rsid w:val="0041238D"/>
    <w:rsid w:val="00412D77"/>
    <w:rsid w:val="0041302D"/>
    <w:rsid w:val="00415248"/>
    <w:rsid w:val="00417A0E"/>
    <w:rsid w:val="00420952"/>
    <w:rsid w:val="0042180B"/>
    <w:rsid w:val="004218DB"/>
    <w:rsid w:val="00421E1C"/>
    <w:rsid w:val="0042309A"/>
    <w:rsid w:val="004266F7"/>
    <w:rsid w:val="004305A9"/>
    <w:rsid w:val="004309BC"/>
    <w:rsid w:val="004310E0"/>
    <w:rsid w:val="004339AB"/>
    <w:rsid w:val="00435766"/>
    <w:rsid w:val="004359CB"/>
    <w:rsid w:val="00437864"/>
    <w:rsid w:val="00441A63"/>
    <w:rsid w:val="00442127"/>
    <w:rsid w:val="00443D2C"/>
    <w:rsid w:val="004442CA"/>
    <w:rsid w:val="00445FCD"/>
    <w:rsid w:val="004545D8"/>
    <w:rsid w:val="00454C22"/>
    <w:rsid w:val="00454EEA"/>
    <w:rsid w:val="00455DF1"/>
    <w:rsid w:val="004612EF"/>
    <w:rsid w:val="00461A84"/>
    <w:rsid w:val="00462AF2"/>
    <w:rsid w:val="004635EE"/>
    <w:rsid w:val="00465A5C"/>
    <w:rsid w:val="00467481"/>
    <w:rsid w:val="004715F6"/>
    <w:rsid w:val="00471727"/>
    <w:rsid w:val="004718B7"/>
    <w:rsid w:val="0047230E"/>
    <w:rsid w:val="00472775"/>
    <w:rsid w:val="00475D8A"/>
    <w:rsid w:val="00480507"/>
    <w:rsid w:val="00480FBD"/>
    <w:rsid w:val="004813CD"/>
    <w:rsid w:val="00483BF2"/>
    <w:rsid w:val="0048748B"/>
    <w:rsid w:val="00487C2B"/>
    <w:rsid w:val="004912DF"/>
    <w:rsid w:val="004962A6"/>
    <w:rsid w:val="00497CA0"/>
    <w:rsid w:val="00497CDE"/>
    <w:rsid w:val="004A1F13"/>
    <w:rsid w:val="004A4A8A"/>
    <w:rsid w:val="004A626B"/>
    <w:rsid w:val="004A642B"/>
    <w:rsid w:val="004A7A44"/>
    <w:rsid w:val="004B0F12"/>
    <w:rsid w:val="004B0FBE"/>
    <w:rsid w:val="004B1C25"/>
    <w:rsid w:val="004B74AA"/>
    <w:rsid w:val="004C027F"/>
    <w:rsid w:val="004C24F5"/>
    <w:rsid w:val="004C3EAA"/>
    <w:rsid w:val="004C78BB"/>
    <w:rsid w:val="004D0058"/>
    <w:rsid w:val="004D1E4B"/>
    <w:rsid w:val="004D2400"/>
    <w:rsid w:val="004D4ADF"/>
    <w:rsid w:val="004D62BE"/>
    <w:rsid w:val="004E30A5"/>
    <w:rsid w:val="004E4AA4"/>
    <w:rsid w:val="004E5A97"/>
    <w:rsid w:val="004E5B0F"/>
    <w:rsid w:val="004E6D6F"/>
    <w:rsid w:val="004E74C9"/>
    <w:rsid w:val="004F00EC"/>
    <w:rsid w:val="004F41C0"/>
    <w:rsid w:val="004F5DB6"/>
    <w:rsid w:val="004F6492"/>
    <w:rsid w:val="004F66CF"/>
    <w:rsid w:val="004F6D02"/>
    <w:rsid w:val="004F7139"/>
    <w:rsid w:val="005026FF"/>
    <w:rsid w:val="00503BAD"/>
    <w:rsid w:val="005061F3"/>
    <w:rsid w:val="005077E6"/>
    <w:rsid w:val="00507B5D"/>
    <w:rsid w:val="005101BF"/>
    <w:rsid w:val="00514CD4"/>
    <w:rsid w:val="00520639"/>
    <w:rsid w:val="005207E9"/>
    <w:rsid w:val="0052135E"/>
    <w:rsid w:val="005224BD"/>
    <w:rsid w:val="00523F68"/>
    <w:rsid w:val="0052416C"/>
    <w:rsid w:val="00525BD5"/>
    <w:rsid w:val="00526BB1"/>
    <w:rsid w:val="005303F6"/>
    <w:rsid w:val="0053188C"/>
    <w:rsid w:val="00532ED8"/>
    <w:rsid w:val="005348D0"/>
    <w:rsid w:val="005412BF"/>
    <w:rsid w:val="00541E31"/>
    <w:rsid w:val="00544239"/>
    <w:rsid w:val="00545873"/>
    <w:rsid w:val="0054645A"/>
    <w:rsid w:val="005503AA"/>
    <w:rsid w:val="00550707"/>
    <w:rsid w:val="005522B7"/>
    <w:rsid w:val="00552BF7"/>
    <w:rsid w:val="00553C76"/>
    <w:rsid w:val="00554E07"/>
    <w:rsid w:val="005559D1"/>
    <w:rsid w:val="005624C6"/>
    <w:rsid w:val="00563948"/>
    <w:rsid w:val="00570F65"/>
    <w:rsid w:val="005710B9"/>
    <w:rsid w:val="00571D6D"/>
    <w:rsid w:val="00574632"/>
    <w:rsid w:val="00576C60"/>
    <w:rsid w:val="0057787A"/>
    <w:rsid w:val="00580E3F"/>
    <w:rsid w:val="005813F7"/>
    <w:rsid w:val="0058207A"/>
    <w:rsid w:val="00582AF1"/>
    <w:rsid w:val="005853D7"/>
    <w:rsid w:val="00585FA0"/>
    <w:rsid w:val="0059102F"/>
    <w:rsid w:val="00593665"/>
    <w:rsid w:val="005939D4"/>
    <w:rsid w:val="00597217"/>
    <w:rsid w:val="005A0183"/>
    <w:rsid w:val="005A0342"/>
    <w:rsid w:val="005A1620"/>
    <w:rsid w:val="005A2CF9"/>
    <w:rsid w:val="005B087E"/>
    <w:rsid w:val="005B1DE2"/>
    <w:rsid w:val="005B2588"/>
    <w:rsid w:val="005B47D3"/>
    <w:rsid w:val="005B524A"/>
    <w:rsid w:val="005B52BB"/>
    <w:rsid w:val="005C188F"/>
    <w:rsid w:val="005C1904"/>
    <w:rsid w:val="005C19CD"/>
    <w:rsid w:val="005C39B9"/>
    <w:rsid w:val="005C6C7A"/>
    <w:rsid w:val="005D73BA"/>
    <w:rsid w:val="005E093C"/>
    <w:rsid w:val="005E1CD1"/>
    <w:rsid w:val="005E6C5C"/>
    <w:rsid w:val="005F392F"/>
    <w:rsid w:val="005F4F3E"/>
    <w:rsid w:val="005F56D0"/>
    <w:rsid w:val="005F611C"/>
    <w:rsid w:val="00600347"/>
    <w:rsid w:val="00602B7F"/>
    <w:rsid w:val="00605714"/>
    <w:rsid w:val="00605A84"/>
    <w:rsid w:val="00606517"/>
    <w:rsid w:val="006161C0"/>
    <w:rsid w:val="006215C5"/>
    <w:rsid w:val="00622AA5"/>
    <w:rsid w:val="00622B89"/>
    <w:rsid w:val="00625A2E"/>
    <w:rsid w:val="00627A14"/>
    <w:rsid w:val="00630A75"/>
    <w:rsid w:val="00631085"/>
    <w:rsid w:val="00633270"/>
    <w:rsid w:val="006345AA"/>
    <w:rsid w:val="00634CD0"/>
    <w:rsid w:val="00635375"/>
    <w:rsid w:val="00635DA6"/>
    <w:rsid w:val="00636196"/>
    <w:rsid w:val="006408C8"/>
    <w:rsid w:val="006431B4"/>
    <w:rsid w:val="006464E1"/>
    <w:rsid w:val="00646AD6"/>
    <w:rsid w:val="0064746B"/>
    <w:rsid w:val="00650E1E"/>
    <w:rsid w:val="00650EF3"/>
    <w:rsid w:val="00651F0C"/>
    <w:rsid w:val="006535F1"/>
    <w:rsid w:val="006536F8"/>
    <w:rsid w:val="0065467B"/>
    <w:rsid w:val="00655D8D"/>
    <w:rsid w:val="00657AF4"/>
    <w:rsid w:val="00660870"/>
    <w:rsid w:val="00661D2E"/>
    <w:rsid w:val="00665139"/>
    <w:rsid w:val="00666270"/>
    <w:rsid w:val="00672F38"/>
    <w:rsid w:val="00674EFC"/>
    <w:rsid w:val="0067507B"/>
    <w:rsid w:val="00680253"/>
    <w:rsid w:val="0068134D"/>
    <w:rsid w:val="00681C11"/>
    <w:rsid w:val="00682301"/>
    <w:rsid w:val="00684AE8"/>
    <w:rsid w:val="00686ED6"/>
    <w:rsid w:val="0069013A"/>
    <w:rsid w:val="00692F7E"/>
    <w:rsid w:val="006954BF"/>
    <w:rsid w:val="0069679C"/>
    <w:rsid w:val="006A03C0"/>
    <w:rsid w:val="006A28AC"/>
    <w:rsid w:val="006A79B9"/>
    <w:rsid w:val="006B0209"/>
    <w:rsid w:val="006B069A"/>
    <w:rsid w:val="006B2440"/>
    <w:rsid w:val="006B429A"/>
    <w:rsid w:val="006B5FF8"/>
    <w:rsid w:val="006B7A41"/>
    <w:rsid w:val="006C4609"/>
    <w:rsid w:val="006C5986"/>
    <w:rsid w:val="006C5ADF"/>
    <w:rsid w:val="006C61CC"/>
    <w:rsid w:val="006C7E91"/>
    <w:rsid w:val="006D1441"/>
    <w:rsid w:val="006D329E"/>
    <w:rsid w:val="006D55F6"/>
    <w:rsid w:val="006D6003"/>
    <w:rsid w:val="006D71A4"/>
    <w:rsid w:val="006D77C1"/>
    <w:rsid w:val="006D7BD6"/>
    <w:rsid w:val="006E1D6B"/>
    <w:rsid w:val="006E2ED1"/>
    <w:rsid w:val="006E4866"/>
    <w:rsid w:val="006E5455"/>
    <w:rsid w:val="006E7F16"/>
    <w:rsid w:val="006F5565"/>
    <w:rsid w:val="006F5EA0"/>
    <w:rsid w:val="006F6800"/>
    <w:rsid w:val="006F70A6"/>
    <w:rsid w:val="006F74D5"/>
    <w:rsid w:val="00704901"/>
    <w:rsid w:val="00707CA2"/>
    <w:rsid w:val="00712A4D"/>
    <w:rsid w:val="00712B7D"/>
    <w:rsid w:val="007173C3"/>
    <w:rsid w:val="00717FEB"/>
    <w:rsid w:val="00720466"/>
    <w:rsid w:val="00720903"/>
    <w:rsid w:val="007218DC"/>
    <w:rsid w:val="00721CF9"/>
    <w:rsid w:val="007263B4"/>
    <w:rsid w:val="00736818"/>
    <w:rsid w:val="00740700"/>
    <w:rsid w:val="00744276"/>
    <w:rsid w:val="007478C2"/>
    <w:rsid w:val="00750EE5"/>
    <w:rsid w:val="00752928"/>
    <w:rsid w:val="007531F4"/>
    <w:rsid w:val="00755310"/>
    <w:rsid w:val="00757A2D"/>
    <w:rsid w:val="00757E6B"/>
    <w:rsid w:val="00760882"/>
    <w:rsid w:val="00766994"/>
    <w:rsid w:val="007725E1"/>
    <w:rsid w:val="0077443A"/>
    <w:rsid w:val="00775A62"/>
    <w:rsid w:val="00777927"/>
    <w:rsid w:val="00783A17"/>
    <w:rsid w:val="00784BE3"/>
    <w:rsid w:val="0078716A"/>
    <w:rsid w:val="007878F5"/>
    <w:rsid w:val="00787A95"/>
    <w:rsid w:val="00793D79"/>
    <w:rsid w:val="007964F1"/>
    <w:rsid w:val="007A5BD2"/>
    <w:rsid w:val="007A6C0F"/>
    <w:rsid w:val="007A6F4B"/>
    <w:rsid w:val="007A7F38"/>
    <w:rsid w:val="007B1989"/>
    <w:rsid w:val="007B27FF"/>
    <w:rsid w:val="007B5EAD"/>
    <w:rsid w:val="007B66E2"/>
    <w:rsid w:val="007D4A71"/>
    <w:rsid w:val="007D6723"/>
    <w:rsid w:val="007E06D8"/>
    <w:rsid w:val="007E3CE0"/>
    <w:rsid w:val="007E3D16"/>
    <w:rsid w:val="007E538D"/>
    <w:rsid w:val="007E6FB9"/>
    <w:rsid w:val="007F0656"/>
    <w:rsid w:val="007F44FF"/>
    <w:rsid w:val="007F5143"/>
    <w:rsid w:val="00800C07"/>
    <w:rsid w:val="00802107"/>
    <w:rsid w:val="00806BE1"/>
    <w:rsid w:val="00806EF0"/>
    <w:rsid w:val="00812FAE"/>
    <w:rsid w:val="00813F52"/>
    <w:rsid w:val="00816DB6"/>
    <w:rsid w:val="00817DC1"/>
    <w:rsid w:val="00822D50"/>
    <w:rsid w:val="00824DDB"/>
    <w:rsid w:val="00825DDC"/>
    <w:rsid w:val="00827DD1"/>
    <w:rsid w:val="00830399"/>
    <w:rsid w:val="0083074A"/>
    <w:rsid w:val="00830BAD"/>
    <w:rsid w:val="00831C7F"/>
    <w:rsid w:val="00832268"/>
    <w:rsid w:val="00833658"/>
    <w:rsid w:val="008371B4"/>
    <w:rsid w:val="008403BE"/>
    <w:rsid w:val="00844D59"/>
    <w:rsid w:val="00845C2B"/>
    <w:rsid w:val="00845E43"/>
    <w:rsid w:val="00847772"/>
    <w:rsid w:val="008506D5"/>
    <w:rsid w:val="008507F7"/>
    <w:rsid w:val="00850FF0"/>
    <w:rsid w:val="00851836"/>
    <w:rsid w:val="00851A87"/>
    <w:rsid w:val="00851E8B"/>
    <w:rsid w:val="008556BA"/>
    <w:rsid w:val="00856AE8"/>
    <w:rsid w:val="00860A14"/>
    <w:rsid w:val="00860C89"/>
    <w:rsid w:val="00862593"/>
    <w:rsid w:val="0086322E"/>
    <w:rsid w:val="00863CD5"/>
    <w:rsid w:val="008657D6"/>
    <w:rsid w:val="00865F8F"/>
    <w:rsid w:val="00866481"/>
    <w:rsid w:val="00867A52"/>
    <w:rsid w:val="00872405"/>
    <w:rsid w:val="00873408"/>
    <w:rsid w:val="008747F8"/>
    <w:rsid w:val="00882FB1"/>
    <w:rsid w:val="00886DDF"/>
    <w:rsid w:val="00892FEE"/>
    <w:rsid w:val="008A11F4"/>
    <w:rsid w:val="008A3E8A"/>
    <w:rsid w:val="008A67E2"/>
    <w:rsid w:val="008A6955"/>
    <w:rsid w:val="008A741B"/>
    <w:rsid w:val="008B159C"/>
    <w:rsid w:val="008B3C56"/>
    <w:rsid w:val="008B654A"/>
    <w:rsid w:val="008C0D87"/>
    <w:rsid w:val="008C210D"/>
    <w:rsid w:val="008C431A"/>
    <w:rsid w:val="008C47FA"/>
    <w:rsid w:val="008C591B"/>
    <w:rsid w:val="008C7B92"/>
    <w:rsid w:val="008D19B0"/>
    <w:rsid w:val="008D23A5"/>
    <w:rsid w:val="008D318F"/>
    <w:rsid w:val="008D3D04"/>
    <w:rsid w:val="008D4059"/>
    <w:rsid w:val="008D5B09"/>
    <w:rsid w:val="008D7CB5"/>
    <w:rsid w:val="008E1188"/>
    <w:rsid w:val="008E2577"/>
    <w:rsid w:val="008E2C6E"/>
    <w:rsid w:val="008E439C"/>
    <w:rsid w:val="008E4B57"/>
    <w:rsid w:val="008E674E"/>
    <w:rsid w:val="008E73B9"/>
    <w:rsid w:val="008E73E4"/>
    <w:rsid w:val="008F0C07"/>
    <w:rsid w:val="008F1287"/>
    <w:rsid w:val="008F1BDC"/>
    <w:rsid w:val="008F57AF"/>
    <w:rsid w:val="009023BE"/>
    <w:rsid w:val="0090508E"/>
    <w:rsid w:val="00907C99"/>
    <w:rsid w:val="00912BC3"/>
    <w:rsid w:val="00913FB6"/>
    <w:rsid w:val="009148DA"/>
    <w:rsid w:val="00921656"/>
    <w:rsid w:val="00925A27"/>
    <w:rsid w:val="00926AC6"/>
    <w:rsid w:val="0093186C"/>
    <w:rsid w:val="00931D32"/>
    <w:rsid w:val="0093733F"/>
    <w:rsid w:val="00940724"/>
    <w:rsid w:val="00940A16"/>
    <w:rsid w:val="0094140D"/>
    <w:rsid w:val="00941CB1"/>
    <w:rsid w:val="0094227E"/>
    <w:rsid w:val="00945B28"/>
    <w:rsid w:val="0094664C"/>
    <w:rsid w:val="00946795"/>
    <w:rsid w:val="00947D45"/>
    <w:rsid w:val="00955BCF"/>
    <w:rsid w:val="00960206"/>
    <w:rsid w:val="0096244D"/>
    <w:rsid w:val="009645D9"/>
    <w:rsid w:val="00964A67"/>
    <w:rsid w:val="00965321"/>
    <w:rsid w:val="009717EC"/>
    <w:rsid w:val="00973046"/>
    <w:rsid w:val="00973751"/>
    <w:rsid w:val="00973A55"/>
    <w:rsid w:val="0097535B"/>
    <w:rsid w:val="00977682"/>
    <w:rsid w:val="009818CA"/>
    <w:rsid w:val="00983446"/>
    <w:rsid w:val="00984B2A"/>
    <w:rsid w:val="00987A16"/>
    <w:rsid w:val="009906B1"/>
    <w:rsid w:val="00990C41"/>
    <w:rsid w:val="0099136C"/>
    <w:rsid w:val="009922FD"/>
    <w:rsid w:val="00992C5D"/>
    <w:rsid w:val="00993B56"/>
    <w:rsid w:val="00994904"/>
    <w:rsid w:val="00995920"/>
    <w:rsid w:val="00995ACC"/>
    <w:rsid w:val="00997E9F"/>
    <w:rsid w:val="009A19E2"/>
    <w:rsid w:val="009A3986"/>
    <w:rsid w:val="009A5ABF"/>
    <w:rsid w:val="009A5C41"/>
    <w:rsid w:val="009A79BF"/>
    <w:rsid w:val="009A7FBF"/>
    <w:rsid w:val="009B33FC"/>
    <w:rsid w:val="009B378B"/>
    <w:rsid w:val="009B49F0"/>
    <w:rsid w:val="009C6B4B"/>
    <w:rsid w:val="009D16B6"/>
    <w:rsid w:val="009D2322"/>
    <w:rsid w:val="009D27B5"/>
    <w:rsid w:val="009D4DA0"/>
    <w:rsid w:val="009D5727"/>
    <w:rsid w:val="009D5739"/>
    <w:rsid w:val="009D5FFB"/>
    <w:rsid w:val="009D736A"/>
    <w:rsid w:val="009D7F9E"/>
    <w:rsid w:val="009E4B6C"/>
    <w:rsid w:val="009E4C3A"/>
    <w:rsid w:val="009E61BA"/>
    <w:rsid w:val="009E6ECC"/>
    <w:rsid w:val="009F28AF"/>
    <w:rsid w:val="009F2BAA"/>
    <w:rsid w:val="009F784B"/>
    <w:rsid w:val="009F7A06"/>
    <w:rsid w:val="00A01D1B"/>
    <w:rsid w:val="00A0286F"/>
    <w:rsid w:val="00A02A0E"/>
    <w:rsid w:val="00A07927"/>
    <w:rsid w:val="00A13287"/>
    <w:rsid w:val="00A176FD"/>
    <w:rsid w:val="00A20894"/>
    <w:rsid w:val="00A22C51"/>
    <w:rsid w:val="00A24FFA"/>
    <w:rsid w:val="00A2661B"/>
    <w:rsid w:val="00A27CCA"/>
    <w:rsid w:val="00A30A0A"/>
    <w:rsid w:val="00A31957"/>
    <w:rsid w:val="00A341D9"/>
    <w:rsid w:val="00A34A8C"/>
    <w:rsid w:val="00A34ABE"/>
    <w:rsid w:val="00A447C4"/>
    <w:rsid w:val="00A44FE3"/>
    <w:rsid w:val="00A4717D"/>
    <w:rsid w:val="00A52C48"/>
    <w:rsid w:val="00A542D9"/>
    <w:rsid w:val="00A54B29"/>
    <w:rsid w:val="00A5514C"/>
    <w:rsid w:val="00A551C3"/>
    <w:rsid w:val="00A568B6"/>
    <w:rsid w:val="00A577F8"/>
    <w:rsid w:val="00A60CA9"/>
    <w:rsid w:val="00A6159F"/>
    <w:rsid w:val="00A61F04"/>
    <w:rsid w:val="00A63715"/>
    <w:rsid w:val="00A7152C"/>
    <w:rsid w:val="00A71894"/>
    <w:rsid w:val="00A71E2C"/>
    <w:rsid w:val="00A753C3"/>
    <w:rsid w:val="00A758FC"/>
    <w:rsid w:val="00A770F9"/>
    <w:rsid w:val="00A8519A"/>
    <w:rsid w:val="00A85502"/>
    <w:rsid w:val="00A85627"/>
    <w:rsid w:val="00A85979"/>
    <w:rsid w:val="00A861C3"/>
    <w:rsid w:val="00A874CB"/>
    <w:rsid w:val="00A92C78"/>
    <w:rsid w:val="00A93974"/>
    <w:rsid w:val="00A951E2"/>
    <w:rsid w:val="00AA07A9"/>
    <w:rsid w:val="00AA126D"/>
    <w:rsid w:val="00AA1B67"/>
    <w:rsid w:val="00AA1BD9"/>
    <w:rsid w:val="00AA2B47"/>
    <w:rsid w:val="00AA2CF9"/>
    <w:rsid w:val="00AA2FAC"/>
    <w:rsid w:val="00AA7A22"/>
    <w:rsid w:val="00AB1A63"/>
    <w:rsid w:val="00AC14B0"/>
    <w:rsid w:val="00AC5502"/>
    <w:rsid w:val="00AD748B"/>
    <w:rsid w:val="00AE2A48"/>
    <w:rsid w:val="00AF0A4A"/>
    <w:rsid w:val="00AF122A"/>
    <w:rsid w:val="00AF4490"/>
    <w:rsid w:val="00AF5EF0"/>
    <w:rsid w:val="00AF5F4E"/>
    <w:rsid w:val="00AF706F"/>
    <w:rsid w:val="00AF7394"/>
    <w:rsid w:val="00AF7831"/>
    <w:rsid w:val="00B0116A"/>
    <w:rsid w:val="00B024D2"/>
    <w:rsid w:val="00B07FF0"/>
    <w:rsid w:val="00B15E1F"/>
    <w:rsid w:val="00B17EFE"/>
    <w:rsid w:val="00B21078"/>
    <w:rsid w:val="00B2286D"/>
    <w:rsid w:val="00B24960"/>
    <w:rsid w:val="00B2496C"/>
    <w:rsid w:val="00B2537F"/>
    <w:rsid w:val="00B34B1E"/>
    <w:rsid w:val="00B3701A"/>
    <w:rsid w:val="00B402DA"/>
    <w:rsid w:val="00B40EB9"/>
    <w:rsid w:val="00B52392"/>
    <w:rsid w:val="00B552E6"/>
    <w:rsid w:val="00B55A06"/>
    <w:rsid w:val="00B61A9D"/>
    <w:rsid w:val="00B63336"/>
    <w:rsid w:val="00B641B7"/>
    <w:rsid w:val="00B64861"/>
    <w:rsid w:val="00B70C61"/>
    <w:rsid w:val="00B72CDF"/>
    <w:rsid w:val="00B74691"/>
    <w:rsid w:val="00B76DDE"/>
    <w:rsid w:val="00B80CA9"/>
    <w:rsid w:val="00B81046"/>
    <w:rsid w:val="00B81A97"/>
    <w:rsid w:val="00B82BEB"/>
    <w:rsid w:val="00B85234"/>
    <w:rsid w:val="00B86B92"/>
    <w:rsid w:val="00B87E50"/>
    <w:rsid w:val="00B91EFE"/>
    <w:rsid w:val="00B92EBE"/>
    <w:rsid w:val="00B92F3B"/>
    <w:rsid w:val="00B96511"/>
    <w:rsid w:val="00B9743F"/>
    <w:rsid w:val="00B97663"/>
    <w:rsid w:val="00BA1293"/>
    <w:rsid w:val="00BA3426"/>
    <w:rsid w:val="00BA4E9B"/>
    <w:rsid w:val="00BA4F0C"/>
    <w:rsid w:val="00BA51B5"/>
    <w:rsid w:val="00BB00D1"/>
    <w:rsid w:val="00BB07AF"/>
    <w:rsid w:val="00BB1CE1"/>
    <w:rsid w:val="00BB2EB1"/>
    <w:rsid w:val="00BB3242"/>
    <w:rsid w:val="00BB4E6B"/>
    <w:rsid w:val="00BC0A50"/>
    <w:rsid w:val="00BC0EB4"/>
    <w:rsid w:val="00BC10CB"/>
    <w:rsid w:val="00BC2131"/>
    <w:rsid w:val="00BC2509"/>
    <w:rsid w:val="00BC2A8D"/>
    <w:rsid w:val="00BC2B2A"/>
    <w:rsid w:val="00BC40BD"/>
    <w:rsid w:val="00BC5194"/>
    <w:rsid w:val="00BC5E1A"/>
    <w:rsid w:val="00BD3587"/>
    <w:rsid w:val="00BD4270"/>
    <w:rsid w:val="00BD4486"/>
    <w:rsid w:val="00BD5048"/>
    <w:rsid w:val="00BD57BD"/>
    <w:rsid w:val="00BD6669"/>
    <w:rsid w:val="00BD6DF7"/>
    <w:rsid w:val="00BE027E"/>
    <w:rsid w:val="00BE1E81"/>
    <w:rsid w:val="00BE2662"/>
    <w:rsid w:val="00BE555A"/>
    <w:rsid w:val="00BE5E88"/>
    <w:rsid w:val="00BF593B"/>
    <w:rsid w:val="00BF649F"/>
    <w:rsid w:val="00C00D2C"/>
    <w:rsid w:val="00C03102"/>
    <w:rsid w:val="00C06821"/>
    <w:rsid w:val="00C07520"/>
    <w:rsid w:val="00C104EA"/>
    <w:rsid w:val="00C1096B"/>
    <w:rsid w:val="00C11058"/>
    <w:rsid w:val="00C11B3F"/>
    <w:rsid w:val="00C13F16"/>
    <w:rsid w:val="00C14450"/>
    <w:rsid w:val="00C14D17"/>
    <w:rsid w:val="00C21678"/>
    <w:rsid w:val="00C25E95"/>
    <w:rsid w:val="00C27472"/>
    <w:rsid w:val="00C3519D"/>
    <w:rsid w:val="00C36FCE"/>
    <w:rsid w:val="00C3732B"/>
    <w:rsid w:val="00C37B42"/>
    <w:rsid w:val="00C37F7A"/>
    <w:rsid w:val="00C4012B"/>
    <w:rsid w:val="00C40256"/>
    <w:rsid w:val="00C430AC"/>
    <w:rsid w:val="00C4417A"/>
    <w:rsid w:val="00C44D47"/>
    <w:rsid w:val="00C45050"/>
    <w:rsid w:val="00C4651C"/>
    <w:rsid w:val="00C47727"/>
    <w:rsid w:val="00C5267B"/>
    <w:rsid w:val="00C5281F"/>
    <w:rsid w:val="00C563FD"/>
    <w:rsid w:val="00C57C85"/>
    <w:rsid w:val="00C63C4A"/>
    <w:rsid w:val="00C71F11"/>
    <w:rsid w:val="00C729D8"/>
    <w:rsid w:val="00C741C6"/>
    <w:rsid w:val="00C84690"/>
    <w:rsid w:val="00C84A1D"/>
    <w:rsid w:val="00C928B0"/>
    <w:rsid w:val="00C9354E"/>
    <w:rsid w:val="00C9416C"/>
    <w:rsid w:val="00C95258"/>
    <w:rsid w:val="00C95CEF"/>
    <w:rsid w:val="00C967E6"/>
    <w:rsid w:val="00C96A27"/>
    <w:rsid w:val="00CA0544"/>
    <w:rsid w:val="00CA247F"/>
    <w:rsid w:val="00CA3BA9"/>
    <w:rsid w:val="00CA6731"/>
    <w:rsid w:val="00CB0C73"/>
    <w:rsid w:val="00CB2D65"/>
    <w:rsid w:val="00CB419F"/>
    <w:rsid w:val="00CB45A0"/>
    <w:rsid w:val="00CB6002"/>
    <w:rsid w:val="00CB6923"/>
    <w:rsid w:val="00CB7423"/>
    <w:rsid w:val="00CC08D7"/>
    <w:rsid w:val="00CC33B5"/>
    <w:rsid w:val="00CC68FF"/>
    <w:rsid w:val="00CD26AA"/>
    <w:rsid w:val="00CD3878"/>
    <w:rsid w:val="00CD4E0D"/>
    <w:rsid w:val="00CD6D6B"/>
    <w:rsid w:val="00CD76C4"/>
    <w:rsid w:val="00CD7766"/>
    <w:rsid w:val="00CE35D3"/>
    <w:rsid w:val="00CE3968"/>
    <w:rsid w:val="00CE3AF1"/>
    <w:rsid w:val="00CE55BA"/>
    <w:rsid w:val="00CE5AE1"/>
    <w:rsid w:val="00CE61A8"/>
    <w:rsid w:val="00CE7E24"/>
    <w:rsid w:val="00CF4A2E"/>
    <w:rsid w:val="00CF5136"/>
    <w:rsid w:val="00CF5ECF"/>
    <w:rsid w:val="00CF6041"/>
    <w:rsid w:val="00CF7A4A"/>
    <w:rsid w:val="00D025A8"/>
    <w:rsid w:val="00D04106"/>
    <w:rsid w:val="00D04563"/>
    <w:rsid w:val="00D0518B"/>
    <w:rsid w:val="00D0554F"/>
    <w:rsid w:val="00D10B6F"/>
    <w:rsid w:val="00D132CD"/>
    <w:rsid w:val="00D14A59"/>
    <w:rsid w:val="00D22214"/>
    <w:rsid w:val="00D23507"/>
    <w:rsid w:val="00D237A5"/>
    <w:rsid w:val="00D24E86"/>
    <w:rsid w:val="00D302DE"/>
    <w:rsid w:val="00D32237"/>
    <w:rsid w:val="00D332D9"/>
    <w:rsid w:val="00D37C27"/>
    <w:rsid w:val="00D4030F"/>
    <w:rsid w:val="00D41C2B"/>
    <w:rsid w:val="00D43A3A"/>
    <w:rsid w:val="00D477A7"/>
    <w:rsid w:val="00D4793A"/>
    <w:rsid w:val="00D50C0E"/>
    <w:rsid w:val="00D5174D"/>
    <w:rsid w:val="00D54CEB"/>
    <w:rsid w:val="00D560B7"/>
    <w:rsid w:val="00D66384"/>
    <w:rsid w:val="00D66942"/>
    <w:rsid w:val="00D73814"/>
    <w:rsid w:val="00D74135"/>
    <w:rsid w:val="00D74F69"/>
    <w:rsid w:val="00D771F1"/>
    <w:rsid w:val="00D81101"/>
    <w:rsid w:val="00D81CF5"/>
    <w:rsid w:val="00D829F1"/>
    <w:rsid w:val="00D86798"/>
    <w:rsid w:val="00D8739D"/>
    <w:rsid w:val="00D873BE"/>
    <w:rsid w:val="00D93801"/>
    <w:rsid w:val="00D93D88"/>
    <w:rsid w:val="00D9472B"/>
    <w:rsid w:val="00D9736E"/>
    <w:rsid w:val="00D9741F"/>
    <w:rsid w:val="00DA0F3E"/>
    <w:rsid w:val="00DA1AED"/>
    <w:rsid w:val="00DA50B5"/>
    <w:rsid w:val="00DA50C1"/>
    <w:rsid w:val="00DA5F31"/>
    <w:rsid w:val="00DA7285"/>
    <w:rsid w:val="00DA7F5E"/>
    <w:rsid w:val="00DB13E4"/>
    <w:rsid w:val="00DB4BBF"/>
    <w:rsid w:val="00DB4FC1"/>
    <w:rsid w:val="00DB6619"/>
    <w:rsid w:val="00DC5B9C"/>
    <w:rsid w:val="00DE0373"/>
    <w:rsid w:val="00DE044C"/>
    <w:rsid w:val="00DE2847"/>
    <w:rsid w:val="00DE32EB"/>
    <w:rsid w:val="00DE6E85"/>
    <w:rsid w:val="00DE716D"/>
    <w:rsid w:val="00DE78E8"/>
    <w:rsid w:val="00DF16D9"/>
    <w:rsid w:val="00DF43AF"/>
    <w:rsid w:val="00DF6752"/>
    <w:rsid w:val="00DF6CC7"/>
    <w:rsid w:val="00DF6CDD"/>
    <w:rsid w:val="00E04173"/>
    <w:rsid w:val="00E05D99"/>
    <w:rsid w:val="00E111B1"/>
    <w:rsid w:val="00E1208E"/>
    <w:rsid w:val="00E12606"/>
    <w:rsid w:val="00E130C7"/>
    <w:rsid w:val="00E13C6B"/>
    <w:rsid w:val="00E13EDF"/>
    <w:rsid w:val="00E14F11"/>
    <w:rsid w:val="00E155EA"/>
    <w:rsid w:val="00E1578A"/>
    <w:rsid w:val="00E2253C"/>
    <w:rsid w:val="00E2524B"/>
    <w:rsid w:val="00E258BF"/>
    <w:rsid w:val="00E268B5"/>
    <w:rsid w:val="00E30F1B"/>
    <w:rsid w:val="00E335B3"/>
    <w:rsid w:val="00E338CD"/>
    <w:rsid w:val="00E37A7B"/>
    <w:rsid w:val="00E40D58"/>
    <w:rsid w:val="00E40F5B"/>
    <w:rsid w:val="00E4120D"/>
    <w:rsid w:val="00E41639"/>
    <w:rsid w:val="00E41B2A"/>
    <w:rsid w:val="00E41CFE"/>
    <w:rsid w:val="00E42FF7"/>
    <w:rsid w:val="00E4336D"/>
    <w:rsid w:val="00E4450D"/>
    <w:rsid w:val="00E46C0D"/>
    <w:rsid w:val="00E47350"/>
    <w:rsid w:val="00E62538"/>
    <w:rsid w:val="00E6351A"/>
    <w:rsid w:val="00E63610"/>
    <w:rsid w:val="00E64050"/>
    <w:rsid w:val="00E6530D"/>
    <w:rsid w:val="00E65865"/>
    <w:rsid w:val="00E67D7C"/>
    <w:rsid w:val="00E70CF6"/>
    <w:rsid w:val="00E72E88"/>
    <w:rsid w:val="00E73038"/>
    <w:rsid w:val="00E76860"/>
    <w:rsid w:val="00E85D81"/>
    <w:rsid w:val="00E90446"/>
    <w:rsid w:val="00E96562"/>
    <w:rsid w:val="00E9754A"/>
    <w:rsid w:val="00E97BC2"/>
    <w:rsid w:val="00EA0B1C"/>
    <w:rsid w:val="00EA4868"/>
    <w:rsid w:val="00EA48F0"/>
    <w:rsid w:val="00EA4F5B"/>
    <w:rsid w:val="00EA4F95"/>
    <w:rsid w:val="00EA538F"/>
    <w:rsid w:val="00EA6777"/>
    <w:rsid w:val="00EA7B00"/>
    <w:rsid w:val="00EA7ECE"/>
    <w:rsid w:val="00EB0690"/>
    <w:rsid w:val="00EB07C8"/>
    <w:rsid w:val="00EB3DD8"/>
    <w:rsid w:val="00EB52AC"/>
    <w:rsid w:val="00EC1CA0"/>
    <w:rsid w:val="00EC1DA8"/>
    <w:rsid w:val="00EC27D5"/>
    <w:rsid w:val="00EC28F7"/>
    <w:rsid w:val="00EC44F0"/>
    <w:rsid w:val="00EC5B6E"/>
    <w:rsid w:val="00EC7B55"/>
    <w:rsid w:val="00EC7FC5"/>
    <w:rsid w:val="00ED134F"/>
    <w:rsid w:val="00ED31D8"/>
    <w:rsid w:val="00ED40C7"/>
    <w:rsid w:val="00ED563E"/>
    <w:rsid w:val="00ED6E89"/>
    <w:rsid w:val="00EE07EB"/>
    <w:rsid w:val="00EE1078"/>
    <w:rsid w:val="00EE2183"/>
    <w:rsid w:val="00EE2AB4"/>
    <w:rsid w:val="00EE2BD5"/>
    <w:rsid w:val="00EE5724"/>
    <w:rsid w:val="00EE5A26"/>
    <w:rsid w:val="00EE736D"/>
    <w:rsid w:val="00EF0758"/>
    <w:rsid w:val="00EF2492"/>
    <w:rsid w:val="00EF36CA"/>
    <w:rsid w:val="00EF5F28"/>
    <w:rsid w:val="00EF6CB3"/>
    <w:rsid w:val="00F017CF"/>
    <w:rsid w:val="00F02B8A"/>
    <w:rsid w:val="00F03049"/>
    <w:rsid w:val="00F03087"/>
    <w:rsid w:val="00F039C8"/>
    <w:rsid w:val="00F06091"/>
    <w:rsid w:val="00F072D9"/>
    <w:rsid w:val="00F10B29"/>
    <w:rsid w:val="00F128E9"/>
    <w:rsid w:val="00F139F9"/>
    <w:rsid w:val="00F13D5B"/>
    <w:rsid w:val="00F1532D"/>
    <w:rsid w:val="00F15491"/>
    <w:rsid w:val="00F15EE2"/>
    <w:rsid w:val="00F1668B"/>
    <w:rsid w:val="00F21A97"/>
    <w:rsid w:val="00F2362D"/>
    <w:rsid w:val="00F2448D"/>
    <w:rsid w:val="00F26371"/>
    <w:rsid w:val="00F277AC"/>
    <w:rsid w:val="00F301CC"/>
    <w:rsid w:val="00F32237"/>
    <w:rsid w:val="00F329CE"/>
    <w:rsid w:val="00F33E86"/>
    <w:rsid w:val="00F36798"/>
    <w:rsid w:val="00F40979"/>
    <w:rsid w:val="00F45479"/>
    <w:rsid w:val="00F45D26"/>
    <w:rsid w:val="00F51215"/>
    <w:rsid w:val="00F534DD"/>
    <w:rsid w:val="00F5414B"/>
    <w:rsid w:val="00F60FBF"/>
    <w:rsid w:val="00F612CE"/>
    <w:rsid w:val="00F62E1C"/>
    <w:rsid w:val="00F63F53"/>
    <w:rsid w:val="00F64101"/>
    <w:rsid w:val="00F64158"/>
    <w:rsid w:val="00F64525"/>
    <w:rsid w:val="00F64ABF"/>
    <w:rsid w:val="00F71FAC"/>
    <w:rsid w:val="00F736E8"/>
    <w:rsid w:val="00F74F47"/>
    <w:rsid w:val="00F759F0"/>
    <w:rsid w:val="00F76378"/>
    <w:rsid w:val="00F81B50"/>
    <w:rsid w:val="00F82A5F"/>
    <w:rsid w:val="00F86E50"/>
    <w:rsid w:val="00F877DF"/>
    <w:rsid w:val="00F952B7"/>
    <w:rsid w:val="00F96DEB"/>
    <w:rsid w:val="00F97507"/>
    <w:rsid w:val="00F9757A"/>
    <w:rsid w:val="00FA1670"/>
    <w:rsid w:val="00FA2240"/>
    <w:rsid w:val="00FA61CB"/>
    <w:rsid w:val="00FA7EAC"/>
    <w:rsid w:val="00FB3ADF"/>
    <w:rsid w:val="00FB56F2"/>
    <w:rsid w:val="00FC1803"/>
    <w:rsid w:val="00FC294D"/>
    <w:rsid w:val="00FC4165"/>
    <w:rsid w:val="00FC56B8"/>
    <w:rsid w:val="00FD04DD"/>
    <w:rsid w:val="00FD1156"/>
    <w:rsid w:val="00FD24DA"/>
    <w:rsid w:val="00FD2669"/>
    <w:rsid w:val="00FD56DA"/>
    <w:rsid w:val="00FD72F3"/>
    <w:rsid w:val="00FE0C25"/>
    <w:rsid w:val="00FE4DC9"/>
    <w:rsid w:val="00FE64BD"/>
    <w:rsid w:val="00FE76A3"/>
    <w:rsid w:val="00FF0EB2"/>
    <w:rsid w:val="00FF1207"/>
    <w:rsid w:val="00FF1362"/>
    <w:rsid w:val="00FF32D3"/>
    <w:rsid w:val="00FF32EE"/>
    <w:rsid w:val="00FF7436"/>
    <w:rsid w:val="00FF759B"/>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eb8"/>
    </o:shapedefaults>
    <o:shapelayout v:ext="edit">
      <o:idmap v:ext="edit" data="2"/>
    </o:shapelayout>
  </w:shapeDefaults>
  <w:decimalSymbol w:val="."/>
  <w:listSeparator w:val=","/>
  <w14:docId w14:val="337DCF49"/>
  <w15:docId w15:val="{BE10EEE7-D235-4BDD-8EC2-49034BF8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2E6"/>
    <w:rPr>
      <w:rFonts w:ascii="Arial" w:hAnsi="Arial"/>
      <w:sz w:val="24"/>
      <w:szCs w:val="24"/>
      <w:lang w:eastAsia="en-US"/>
    </w:rPr>
  </w:style>
  <w:style w:type="paragraph" w:styleId="Heading1">
    <w:name w:val="heading 1"/>
    <w:basedOn w:val="Normal"/>
    <w:next w:val="Normal"/>
    <w:link w:val="Heading1Char"/>
    <w:qFormat/>
    <w:rsid w:val="008507F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741B"/>
    <w:rPr>
      <w:rFonts w:ascii="Tahoma" w:hAnsi="Tahoma" w:cs="Tahoma"/>
      <w:sz w:val="16"/>
      <w:szCs w:val="16"/>
    </w:rPr>
  </w:style>
  <w:style w:type="paragraph" w:customStyle="1" w:styleId="msolistparagraph0">
    <w:name w:val="msolistparagraph"/>
    <w:basedOn w:val="Normal"/>
    <w:rsid w:val="00F13D5B"/>
    <w:pPr>
      <w:ind w:left="720"/>
    </w:pPr>
    <w:rPr>
      <w:rFonts w:ascii="Calibri" w:hAnsi="Calibri"/>
      <w:sz w:val="22"/>
      <w:szCs w:val="22"/>
      <w:lang w:eastAsia="en-GB"/>
    </w:rPr>
  </w:style>
  <w:style w:type="paragraph" w:styleId="Header">
    <w:name w:val="header"/>
    <w:basedOn w:val="Normal"/>
    <w:rsid w:val="00F45D26"/>
    <w:pPr>
      <w:tabs>
        <w:tab w:val="center" w:pos="4153"/>
        <w:tab w:val="right" w:pos="8306"/>
      </w:tabs>
    </w:pPr>
  </w:style>
  <w:style w:type="paragraph" w:styleId="Footer">
    <w:name w:val="footer"/>
    <w:basedOn w:val="Normal"/>
    <w:link w:val="FooterChar"/>
    <w:uiPriority w:val="99"/>
    <w:rsid w:val="00F45D26"/>
    <w:pPr>
      <w:tabs>
        <w:tab w:val="center" w:pos="4153"/>
        <w:tab w:val="right" w:pos="8306"/>
      </w:tabs>
    </w:pPr>
  </w:style>
  <w:style w:type="character" w:styleId="Hyperlink">
    <w:name w:val="Hyperlink"/>
    <w:rsid w:val="004B0FBE"/>
    <w:rPr>
      <w:color w:val="0000FF"/>
      <w:u w:val="single"/>
    </w:rPr>
  </w:style>
  <w:style w:type="paragraph" w:customStyle="1" w:styleId="listparagraph">
    <w:name w:val="listparagraph"/>
    <w:basedOn w:val="Normal"/>
    <w:rsid w:val="00787A95"/>
    <w:pPr>
      <w:ind w:left="720"/>
    </w:pPr>
    <w:rPr>
      <w:rFonts w:cs="Arial"/>
      <w:lang w:eastAsia="en-GB"/>
    </w:rPr>
  </w:style>
  <w:style w:type="table" w:styleId="TableGrid">
    <w:name w:val="Table Grid"/>
    <w:basedOn w:val="TableNormal"/>
    <w:uiPriority w:val="59"/>
    <w:rsid w:val="0003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3C56"/>
    <w:pPr>
      <w:spacing w:before="100" w:beforeAutospacing="1" w:after="100" w:afterAutospacing="1"/>
    </w:pPr>
    <w:rPr>
      <w:rFonts w:ascii="Times New Roman" w:hAnsi="Times New Roman"/>
      <w:lang w:eastAsia="en-GB"/>
    </w:rPr>
  </w:style>
  <w:style w:type="character" w:customStyle="1" w:styleId="FooterChar">
    <w:name w:val="Footer Char"/>
    <w:link w:val="Footer"/>
    <w:uiPriority w:val="99"/>
    <w:rsid w:val="00625A2E"/>
    <w:rPr>
      <w:rFonts w:ascii="Arial" w:hAnsi="Arial"/>
      <w:sz w:val="24"/>
      <w:szCs w:val="24"/>
      <w:lang w:eastAsia="en-US"/>
    </w:rPr>
  </w:style>
  <w:style w:type="paragraph" w:styleId="ListParagraph0">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qFormat/>
    <w:rsid w:val="0016691D"/>
    <w:pPr>
      <w:ind w:left="720"/>
      <w:contextualSpacing/>
    </w:pPr>
  </w:style>
  <w:style w:type="character" w:styleId="FollowedHyperlink">
    <w:name w:val="FollowedHyperlink"/>
    <w:basedOn w:val="DefaultParagraphFont"/>
    <w:semiHidden/>
    <w:unhideWhenUsed/>
    <w:rsid w:val="00AF7831"/>
    <w:rPr>
      <w:color w:val="800080" w:themeColor="followedHyperlink"/>
      <w:u w:val="single"/>
    </w:rPr>
  </w:style>
  <w:style w:type="paragraph" w:styleId="NoSpacing">
    <w:name w:val="No Spacing"/>
    <w:uiPriority w:val="1"/>
    <w:qFormat/>
    <w:rsid w:val="001E0A9A"/>
    <w:rPr>
      <w:rFonts w:asciiTheme="minorHAnsi" w:eastAsiaTheme="minorHAnsi" w:hAnsiTheme="minorHAnsi" w:cstheme="minorBidi"/>
      <w:sz w:val="22"/>
      <w:szCs w:val="22"/>
      <w:lang w:eastAsia="en-US"/>
    </w:rPr>
  </w:style>
  <w:style w:type="paragraph" w:styleId="Revision">
    <w:name w:val="Revision"/>
    <w:hidden/>
    <w:uiPriority w:val="99"/>
    <w:semiHidden/>
    <w:rsid w:val="00EE2BD5"/>
    <w:rPr>
      <w:rFonts w:ascii="Arial" w:hAnsi="Arial"/>
      <w:sz w:val="24"/>
      <w:szCs w:val="24"/>
      <w:lang w:eastAsia="en-US"/>
    </w:rPr>
  </w:style>
  <w:style w:type="character" w:styleId="CommentReference">
    <w:name w:val="annotation reference"/>
    <w:basedOn w:val="DefaultParagraphFont"/>
    <w:semiHidden/>
    <w:unhideWhenUsed/>
    <w:rsid w:val="002E4554"/>
    <w:rPr>
      <w:sz w:val="16"/>
      <w:szCs w:val="16"/>
    </w:rPr>
  </w:style>
  <w:style w:type="paragraph" w:styleId="CommentText">
    <w:name w:val="annotation text"/>
    <w:basedOn w:val="Normal"/>
    <w:link w:val="CommentTextChar"/>
    <w:semiHidden/>
    <w:unhideWhenUsed/>
    <w:rsid w:val="002E4554"/>
    <w:rPr>
      <w:sz w:val="20"/>
      <w:szCs w:val="20"/>
    </w:rPr>
  </w:style>
  <w:style w:type="character" w:customStyle="1" w:styleId="CommentTextChar">
    <w:name w:val="Comment Text Char"/>
    <w:basedOn w:val="DefaultParagraphFont"/>
    <w:link w:val="CommentText"/>
    <w:semiHidden/>
    <w:rsid w:val="002E4554"/>
    <w:rPr>
      <w:rFonts w:ascii="Arial" w:hAnsi="Arial"/>
      <w:lang w:eastAsia="en-US"/>
    </w:rPr>
  </w:style>
  <w:style w:type="paragraph" w:styleId="CommentSubject">
    <w:name w:val="annotation subject"/>
    <w:basedOn w:val="CommentText"/>
    <w:next w:val="CommentText"/>
    <w:link w:val="CommentSubjectChar"/>
    <w:semiHidden/>
    <w:unhideWhenUsed/>
    <w:rsid w:val="002E4554"/>
    <w:rPr>
      <w:b/>
      <w:bCs/>
    </w:rPr>
  </w:style>
  <w:style w:type="character" w:customStyle="1" w:styleId="CommentSubjectChar">
    <w:name w:val="Comment Subject Char"/>
    <w:basedOn w:val="CommentTextChar"/>
    <w:link w:val="CommentSubject"/>
    <w:semiHidden/>
    <w:rsid w:val="002E4554"/>
    <w:rPr>
      <w:rFonts w:ascii="Arial" w:hAnsi="Arial"/>
      <w:b/>
      <w:bCs/>
      <w:lang w:eastAsia="en-US"/>
    </w:rPr>
  </w:style>
  <w:style w:type="paragraph" w:customStyle="1" w:styleId="Default">
    <w:name w:val="Default"/>
    <w:rsid w:val="00CB2D65"/>
    <w:pPr>
      <w:autoSpaceDE w:val="0"/>
      <w:autoSpaceDN w:val="0"/>
      <w:adjustRightInd w:val="0"/>
    </w:pPr>
    <w:rPr>
      <w:rFonts w:ascii="Frutiger LT Std" w:hAnsi="Frutiger LT Std" w:cs="Frutiger LT Std"/>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0"/>
    <w:locked/>
    <w:rsid w:val="00E42FF7"/>
    <w:rPr>
      <w:rFonts w:ascii="Arial" w:hAnsi="Arial"/>
      <w:sz w:val="24"/>
      <w:szCs w:val="24"/>
      <w:lang w:eastAsia="en-US"/>
    </w:rPr>
  </w:style>
  <w:style w:type="character" w:customStyle="1" w:styleId="data-item">
    <w:name w:val="data-item"/>
    <w:basedOn w:val="DefaultParagraphFont"/>
    <w:rsid w:val="00CA6731"/>
  </w:style>
  <w:style w:type="table" w:customStyle="1" w:styleId="TableGrid4">
    <w:name w:val="Table Grid4"/>
    <w:basedOn w:val="TableNormal"/>
    <w:next w:val="TableGrid"/>
    <w:uiPriority w:val="59"/>
    <w:rsid w:val="00A861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1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507F7"/>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8507F7"/>
    <w:pPr>
      <w:spacing w:line="259" w:lineRule="auto"/>
      <w:outlineLvl w:val="9"/>
    </w:pPr>
    <w:rPr>
      <w:lang w:val="en-US"/>
    </w:rPr>
  </w:style>
  <w:style w:type="paragraph" w:styleId="TOC2">
    <w:name w:val="toc 2"/>
    <w:basedOn w:val="Normal"/>
    <w:next w:val="Normal"/>
    <w:autoRedefine/>
    <w:uiPriority w:val="39"/>
    <w:unhideWhenUsed/>
    <w:rsid w:val="00941CB1"/>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941CB1"/>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941CB1"/>
    <w:pPr>
      <w:spacing w:after="100" w:line="259" w:lineRule="auto"/>
      <w:ind w:left="440"/>
    </w:pPr>
    <w:rPr>
      <w:rFonts w:asciiTheme="minorHAnsi" w:eastAsiaTheme="minorEastAsia" w:hAnsiTheme="minorHAnsi"/>
      <w:sz w:val="22"/>
      <w:szCs w:val="22"/>
      <w:lang w:val="en-US"/>
    </w:rPr>
  </w:style>
  <w:style w:type="table" w:customStyle="1" w:styleId="TableGrid2">
    <w:name w:val="Table Grid2"/>
    <w:basedOn w:val="TableNormal"/>
    <w:next w:val="TableGrid"/>
    <w:uiPriority w:val="59"/>
    <w:unhideWhenUsed/>
    <w:rsid w:val="00CE61A8"/>
    <w:rPr>
      <w:rFonts w:ascii="Gill Sans MT" w:eastAsia="Gill Sans MT" w:hAnsi="Gill Sans MT"/>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13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8627">
      <w:bodyDiv w:val="1"/>
      <w:marLeft w:val="0"/>
      <w:marRight w:val="0"/>
      <w:marTop w:val="0"/>
      <w:marBottom w:val="0"/>
      <w:divBdr>
        <w:top w:val="none" w:sz="0" w:space="0" w:color="auto"/>
        <w:left w:val="none" w:sz="0" w:space="0" w:color="auto"/>
        <w:bottom w:val="none" w:sz="0" w:space="0" w:color="auto"/>
        <w:right w:val="none" w:sz="0" w:space="0" w:color="auto"/>
      </w:divBdr>
    </w:div>
    <w:div w:id="111752523">
      <w:bodyDiv w:val="1"/>
      <w:marLeft w:val="0"/>
      <w:marRight w:val="0"/>
      <w:marTop w:val="0"/>
      <w:marBottom w:val="0"/>
      <w:divBdr>
        <w:top w:val="none" w:sz="0" w:space="0" w:color="auto"/>
        <w:left w:val="none" w:sz="0" w:space="0" w:color="auto"/>
        <w:bottom w:val="none" w:sz="0" w:space="0" w:color="auto"/>
        <w:right w:val="none" w:sz="0" w:space="0" w:color="auto"/>
      </w:divBdr>
    </w:div>
    <w:div w:id="144444507">
      <w:bodyDiv w:val="1"/>
      <w:marLeft w:val="0"/>
      <w:marRight w:val="0"/>
      <w:marTop w:val="0"/>
      <w:marBottom w:val="0"/>
      <w:divBdr>
        <w:top w:val="none" w:sz="0" w:space="0" w:color="auto"/>
        <w:left w:val="none" w:sz="0" w:space="0" w:color="auto"/>
        <w:bottom w:val="none" w:sz="0" w:space="0" w:color="auto"/>
        <w:right w:val="none" w:sz="0" w:space="0" w:color="auto"/>
      </w:divBdr>
    </w:div>
    <w:div w:id="200749391">
      <w:bodyDiv w:val="1"/>
      <w:marLeft w:val="0"/>
      <w:marRight w:val="0"/>
      <w:marTop w:val="0"/>
      <w:marBottom w:val="0"/>
      <w:divBdr>
        <w:top w:val="none" w:sz="0" w:space="0" w:color="auto"/>
        <w:left w:val="none" w:sz="0" w:space="0" w:color="auto"/>
        <w:bottom w:val="none" w:sz="0" w:space="0" w:color="auto"/>
        <w:right w:val="none" w:sz="0" w:space="0" w:color="auto"/>
      </w:divBdr>
    </w:div>
    <w:div w:id="200896683">
      <w:bodyDiv w:val="1"/>
      <w:marLeft w:val="0"/>
      <w:marRight w:val="0"/>
      <w:marTop w:val="0"/>
      <w:marBottom w:val="0"/>
      <w:divBdr>
        <w:top w:val="none" w:sz="0" w:space="0" w:color="auto"/>
        <w:left w:val="none" w:sz="0" w:space="0" w:color="auto"/>
        <w:bottom w:val="none" w:sz="0" w:space="0" w:color="auto"/>
        <w:right w:val="none" w:sz="0" w:space="0" w:color="auto"/>
      </w:divBdr>
    </w:div>
    <w:div w:id="483474753">
      <w:bodyDiv w:val="1"/>
      <w:marLeft w:val="0"/>
      <w:marRight w:val="0"/>
      <w:marTop w:val="0"/>
      <w:marBottom w:val="0"/>
      <w:divBdr>
        <w:top w:val="none" w:sz="0" w:space="0" w:color="auto"/>
        <w:left w:val="none" w:sz="0" w:space="0" w:color="auto"/>
        <w:bottom w:val="none" w:sz="0" w:space="0" w:color="auto"/>
        <w:right w:val="none" w:sz="0" w:space="0" w:color="auto"/>
      </w:divBdr>
      <w:divsChild>
        <w:div w:id="854272401">
          <w:marLeft w:val="-225"/>
          <w:marRight w:val="-225"/>
          <w:marTop w:val="0"/>
          <w:marBottom w:val="0"/>
          <w:divBdr>
            <w:top w:val="none" w:sz="0" w:space="0" w:color="auto"/>
            <w:left w:val="none" w:sz="0" w:space="0" w:color="auto"/>
            <w:bottom w:val="none" w:sz="0" w:space="0" w:color="auto"/>
            <w:right w:val="none" w:sz="0" w:space="0" w:color="auto"/>
          </w:divBdr>
          <w:divsChild>
            <w:div w:id="1416903872">
              <w:marLeft w:val="0"/>
              <w:marRight w:val="0"/>
              <w:marTop w:val="0"/>
              <w:marBottom w:val="0"/>
              <w:divBdr>
                <w:top w:val="none" w:sz="0" w:space="0" w:color="auto"/>
                <w:left w:val="none" w:sz="0" w:space="0" w:color="auto"/>
                <w:bottom w:val="none" w:sz="0" w:space="0" w:color="auto"/>
                <w:right w:val="none" w:sz="0" w:space="0" w:color="auto"/>
              </w:divBdr>
            </w:div>
          </w:divsChild>
        </w:div>
        <w:div w:id="771050515">
          <w:marLeft w:val="-225"/>
          <w:marRight w:val="-225"/>
          <w:marTop w:val="0"/>
          <w:marBottom w:val="0"/>
          <w:divBdr>
            <w:top w:val="none" w:sz="0" w:space="0" w:color="auto"/>
            <w:left w:val="none" w:sz="0" w:space="0" w:color="auto"/>
            <w:bottom w:val="none" w:sz="0" w:space="0" w:color="auto"/>
            <w:right w:val="none" w:sz="0" w:space="0" w:color="auto"/>
          </w:divBdr>
          <w:divsChild>
            <w:div w:id="503469934">
              <w:marLeft w:val="0"/>
              <w:marRight w:val="0"/>
              <w:marTop w:val="0"/>
              <w:marBottom w:val="0"/>
              <w:divBdr>
                <w:top w:val="none" w:sz="0" w:space="0" w:color="auto"/>
                <w:left w:val="none" w:sz="0" w:space="0" w:color="auto"/>
                <w:bottom w:val="none" w:sz="0" w:space="0" w:color="auto"/>
                <w:right w:val="none" w:sz="0" w:space="0" w:color="auto"/>
              </w:divBdr>
              <w:divsChild>
                <w:div w:id="935752594">
                  <w:marLeft w:val="0"/>
                  <w:marRight w:val="0"/>
                  <w:marTop w:val="0"/>
                  <w:marBottom w:val="225"/>
                  <w:divBdr>
                    <w:top w:val="none" w:sz="0" w:space="0" w:color="auto"/>
                    <w:left w:val="none" w:sz="0" w:space="0" w:color="auto"/>
                    <w:bottom w:val="none" w:sz="0" w:space="0" w:color="auto"/>
                    <w:right w:val="none" w:sz="0" w:space="0" w:color="auto"/>
                  </w:divBdr>
                </w:div>
                <w:div w:id="12762553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46993274">
      <w:bodyDiv w:val="1"/>
      <w:marLeft w:val="0"/>
      <w:marRight w:val="0"/>
      <w:marTop w:val="0"/>
      <w:marBottom w:val="0"/>
      <w:divBdr>
        <w:top w:val="none" w:sz="0" w:space="0" w:color="auto"/>
        <w:left w:val="none" w:sz="0" w:space="0" w:color="auto"/>
        <w:bottom w:val="none" w:sz="0" w:space="0" w:color="auto"/>
        <w:right w:val="none" w:sz="0" w:space="0" w:color="auto"/>
      </w:divBdr>
    </w:div>
    <w:div w:id="603196089">
      <w:bodyDiv w:val="1"/>
      <w:marLeft w:val="0"/>
      <w:marRight w:val="0"/>
      <w:marTop w:val="0"/>
      <w:marBottom w:val="0"/>
      <w:divBdr>
        <w:top w:val="none" w:sz="0" w:space="0" w:color="auto"/>
        <w:left w:val="none" w:sz="0" w:space="0" w:color="auto"/>
        <w:bottom w:val="none" w:sz="0" w:space="0" w:color="auto"/>
        <w:right w:val="none" w:sz="0" w:space="0" w:color="auto"/>
      </w:divBdr>
    </w:div>
    <w:div w:id="616177381">
      <w:bodyDiv w:val="1"/>
      <w:marLeft w:val="0"/>
      <w:marRight w:val="0"/>
      <w:marTop w:val="0"/>
      <w:marBottom w:val="0"/>
      <w:divBdr>
        <w:top w:val="none" w:sz="0" w:space="0" w:color="auto"/>
        <w:left w:val="none" w:sz="0" w:space="0" w:color="auto"/>
        <w:bottom w:val="none" w:sz="0" w:space="0" w:color="auto"/>
        <w:right w:val="none" w:sz="0" w:space="0" w:color="auto"/>
      </w:divBdr>
    </w:div>
    <w:div w:id="735712467">
      <w:bodyDiv w:val="1"/>
      <w:marLeft w:val="0"/>
      <w:marRight w:val="0"/>
      <w:marTop w:val="0"/>
      <w:marBottom w:val="0"/>
      <w:divBdr>
        <w:top w:val="none" w:sz="0" w:space="0" w:color="auto"/>
        <w:left w:val="none" w:sz="0" w:space="0" w:color="auto"/>
        <w:bottom w:val="none" w:sz="0" w:space="0" w:color="auto"/>
        <w:right w:val="none" w:sz="0" w:space="0" w:color="auto"/>
      </w:divBdr>
    </w:div>
    <w:div w:id="751045271">
      <w:bodyDiv w:val="1"/>
      <w:marLeft w:val="0"/>
      <w:marRight w:val="0"/>
      <w:marTop w:val="0"/>
      <w:marBottom w:val="0"/>
      <w:divBdr>
        <w:top w:val="none" w:sz="0" w:space="0" w:color="auto"/>
        <w:left w:val="none" w:sz="0" w:space="0" w:color="auto"/>
        <w:bottom w:val="none" w:sz="0" w:space="0" w:color="auto"/>
        <w:right w:val="none" w:sz="0" w:space="0" w:color="auto"/>
      </w:divBdr>
      <w:divsChild>
        <w:div w:id="1533883530">
          <w:marLeft w:val="446"/>
          <w:marRight w:val="0"/>
          <w:marTop w:val="0"/>
          <w:marBottom w:val="0"/>
          <w:divBdr>
            <w:top w:val="none" w:sz="0" w:space="0" w:color="auto"/>
            <w:left w:val="none" w:sz="0" w:space="0" w:color="auto"/>
            <w:bottom w:val="none" w:sz="0" w:space="0" w:color="auto"/>
            <w:right w:val="none" w:sz="0" w:space="0" w:color="auto"/>
          </w:divBdr>
        </w:div>
      </w:divsChild>
    </w:div>
    <w:div w:id="831262635">
      <w:bodyDiv w:val="1"/>
      <w:marLeft w:val="0"/>
      <w:marRight w:val="0"/>
      <w:marTop w:val="0"/>
      <w:marBottom w:val="0"/>
      <w:divBdr>
        <w:top w:val="none" w:sz="0" w:space="0" w:color="auto"/>
        <w:left w:val="none" w:sz="0" w:space="0" w:color="auto"/>
        <w:bottom w:val="none" w:sz="0" w:space="0" w:color="auto"/>
        <w:right w:val="none" w:sz="0" w:space="0" w:color="auto"/>
      </w:divBdr>
    </w:div>
    <w:div w:id="849640870">
      <w:bodyDiv w:val="1"/>
      <w:marLeft w:val="0"/>
      <w:marRight w:val="0"/>
      <w:marTop w:val="0"/>
      <w:marBottom w:val="0"/>
      <w:divBdr>
        <w:top w:val="none" w:sz="0" w:space="0" w:color="auto"/>
        <w:left w:val="none" w:sz="0" w:space="0" w:color="auto"/>
        <w:bottom w:val="none" w:sz="0" w:space="0" w:color="auto"/>
        <w:right w:val="none" w:sz="0" w:space="0" w:color="auto"/>
      </w:divBdr>
    </w:div>
    <w:div w:id="1254391553">
      <w:bodyDiv w:val="1"/>
      <w:marLeft w:val="0"/>
      <w:marRight w:val="0"/>
      <w:marTop w:val="0"/>
      <w:marBottom w:val="0"/>
      <w:divBdr>
        <w:top w:val="none" w:sz="0" w:space="0" w:color="auto"/>
        <w:left w:val="none" w:sz="0" w:space="0" w:color="auto"/>
        <w:bottom w:val="none" w:sz="0" w:space="0" w:color="auto"/>
        <w:right w:val="none" w:sz="0" w:space="0" w:color="auto"/>
      </w:divBdr>
    </w:div>
    <w:div w:id="1498693175">
      <w:bodyDiv w:val="1"/>
      <w:marLeft w:val="0"/>
      <w:marRight w:val="0"/>
      <w:marTop w:val="0"/>
      <w:marBottom w:val="0"/>
      <w:divBdr>
        <w:top w:val="none" w:sz="0" w:space="0" w:color="auto"/>
        <w:left w:val="none" w:sz="0" w:space="0" w:color="auto"/>
        <w:bottom w:val="none" w:sz="0" w:space="0" w:color="auto"/>
        <w:right w:val="none" w:sz="0" w:space="0" w:color="auto"/>
      </w:divBdr>
    </w:div>
    <w:div w:id="1541014345">
      <w:bodyDiv w:val="1"/>
      <w:marLeft w:val="0"/>
      <w:marRight w:val="0"/>
      <w:marTop w:val="0"/>
      <w:marBottom w:val="0"/>
      <w:divBdr>
        <w:top w:val="none" w:sz="0" w:space="0" w:color="auto"/>
        <w:left w:val="none" w:sz="0" w:space="0" w:color="auto"/>
        <w:bottom w:val="none" w:sz="0" w:space="0" w:color="auto"/>
        <w:right w:val="none" w:sz="0" w:space="0" w:color="auto"/>
      </w:divBdr>
    </w:div>
    <w:div w:id="1793356277">
      <w:bodyDiv w:val="1"/>
      <w:marLeft w:val="0"/>
      <w:marRight w:val="0"/>
      <w:marTop w:val="0"/>
      <w:marBottom w:val="0"/>
      <w:divBdr>
        <w:top w:val="none" w:sz="0" w:space="0" w:color="auto"/>
        <w:left w:val="none" w:sz="0" w:space="0" w:color="auto"/>
        <w:bottom w:val="none" w:sz="0" w:space="0" w:color="auto"/>
        <w:right w:val="none" w:sz="0" w:space="0" w:color="auto"/>
      </w:divBdr>
    </w:div>
    <w:div w:id="18597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yperlink" Target="https://www.leedsandyorkpft.nhs.uk/about-us/our-strategy/our-people-plan/belonging-in-the-nhs/belonging-road-map/"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_rels/data1.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7B207A-C903-4EC6-AF37-6B0C2A5D73DC}"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AD6AEA1F-6892-44EF-B04E-5A517F16B0DA}">
      <dgm:prSet phldrT="[Text]"/>
      <dgm:spPr>
        <a:xfrm>
          <a:off x="409804" y="317223"/>
          <a:ext cx="5300242" cy="618490"/>
        </a:xfrm>
        <a:prstGeom prst="rect">
          <a:avLst/>
        </a:prstGeom>
        <a:solidFill>
          <a:srgbClr val="00B0F0"/>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Representation, Recruitment and Retention</a:t>
          </a:r>
        </a:p>
        <a:p>
          <a:pPr>
            <a:buNone/>
          </a:pPr>
          <a:r>
            <a:rPr lang="en-GB" b="1">
              <a:solidFill>
                <a:sysClr val="window" lastClr="FFFFFF"/>
              </a:solidFill>
              <a:latin typeface="Calibri"/>
              <a:ea typeface="+mn-ea"/>
              <a:cs typeface="+mn-cs"/>
            </a:rPr>
            <a:t>WDES Indicators 1 and 10</a:t>
          </a:r>
        </a:p>
      </dgm:t>
    </dgm:pt>
    <dgm:pt modelId="{A05A0968-22DF-4420-8662-18070245276E}" type="parTrans" cxnId="{869403FC-1485-4718-A023-C6814BCC6D4D}">
      <dgm:prSet/>
      <dgm:spPr/>
      <dgm:t>
        <a:bodyPr/>
        <a:lstStyle/>
        <a:p>
          <a:endParaRPr lang="en-GB"/>
        </a:p>
      </dgm:t>
    </dgm:pt>
    <dgm:pt modelId="{3B8E7966-74C8-4C56-AB19-62EEFD109046}" type="sibTrans" cxnId="{869403FC-1485-4718-A023-C6814BCC6D4D}">
      <dgm:prSet/>
      <dgm:spPr>
        <a:xfrm>
          <a:off x="-3495141" y="-505548"/>
          <a:ext cx="4167052" cy="4167052"/>
        </a:xfrm>
        <a:prstGeom prst="blockArc">
          <a:avLst>
            <a:gd name="adj1" fmla="val 18900000"/>
            <a:gd name="adj2" fmla="val 2700000"/>
            <a:gd name="adj3" fmla="val 518"/>
          </a:avLst>
        </a:pr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FA18525-B6B4-46FE-9359-DE13C0BF1782}">
      <dgm:prSet phldrT="[Text]"/>
      <dgm:spPr>
        <a:xfrm>
          <a:off x="656887" y="1236980"/>
          <a:ext cx="5075421" cy="618490"/>
        </a:xfrm>
        <a:prstGeom prst="rect">
          <a:avLst/>
        </a:prstGeom>
        <a:solidFill>
          <a:srgbClr val="F79646"/>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Leadership, Learning  and Development</a:t>
          </a:r>
        </a:p>
        <a:p>
          <a:pPr>
            <a:buNone/>
          </a:pPr>
          <a:r>
            <a:rPr lang="en-GB" b="1">
              <a:solidFill>
                <a:sysClr val="window" lastClr="FFFFFF"/>
              </a:solidFill>
              <a:latin typeface="Calibri"/>
              <a:ea typeface="+mn-ea"/>
              <a:cs typeface="+mn-cs"/>
            </a:rPr>
            <a:t>WDES Indicators  2,5,7,9</a:t>
          </a:r>
        </a:p>
      </dgm:t>
    </dgm:pt>
    <dgm:pt modelId="{95536E35-9E8E-43C1-B106-F66978DDCBF1}" type="parTrans" cxnId="{F63955E3-D9DE-4AD3-B5E4-F045CCB8E8DA}">
      <dgm:prSet/>
      <dgm:spPr/>
      <dgm:t>
        <a:bodyPr/>
        <a:lstStyle/>
        <a:p>
          <a:endParaRPr lang="en-GB"/>
        </a:p>
      </dgm:t>
    </dgm:pt>
    <dgm:pt modelId="{477748B8-42D0-4FB0-8F69-73CED13ACDBA}" type="sibTrans" cxnId="{F63955E3-D9DE-4AD3-B5E4-F045CCB8E8DA}">
      <dgm:prSet/>
      <dgm:spPr/>
      <dgm:t>
        <a:bodyPr/>
        <a:lstStyle/>
        <a:p>
          <a:endParaRPr lang="en-GB"/>
        </a:p>
      </dgm:t>
    </dgm:pt>
    <dgm:pt modelId="{434FDAD2-669F-422B-966D-016B1A42FDA0}">
      <dgm:prSet/>
      <dgm:spPr>
        <a:xfrm>
          <a:off x="387013" y="2182645"/>
          <a:ext cx="5300242" cy="618490"/>
        </a:xfrm>
        <a:prstGeom prst="rect">
          <a:avLst/>
        </a:prstGeom>
        <a:solidFill>
          <a:srgbClr val="8064A2">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Staff</a:t>
          </a:r>
          <a:r>
            <a:rPr lang="en-GB">
              <a:solidFill>
                <a:sysClr val="window" lastClr="FFFFFF"/>
              </a:solidFill>
              <a:latin typeface="Calibri"/>
              <a:ea typeface="+mn-ea"/>
              <a:cs typeface="+mn-cs"/>
            </a:rPr>
            <a:t> </a:t>
          </a:r>
          <a:r>
            <a:rPr lang="en-GB" b="1">
              <a:solidFill>
                <a:sysClr val="window" lastClr="FFFFFF"/>
              </a:solidFill>
              <a:latin typeface="Calibri"/>
              <a:ea typeface="+mn-ea"/>
              <a:cs typeface="+mn-cs"/>
            </a:rPr>
            <a:t>Experience</a:t>
          </a:r>
        </a:p>
        <a:p>
          <a:pPr>
            <a:buNone/>
          </a:pPr>
          <a:r>
            <a:rPr lang="en-GB" b="1">
              <a:solidFill>
                <a:sysClr val="window" lastClr="FFFFFF"/>
              </a:solidFill>
              <a:latin typeface="Calibri"/>
              <a:ea typeface="+mn-ea"/>
              <a:cs typeface="+mn-cs"/>
            </a:rPr>
            <a:t>WDES Indicators 4,5,6,7,8 and 9 </a:t>
          </a:r>
        </a:p>
      </dgm:t>
    </dgm:pt>
    <dgm:pt modelId="{E95A4894-548E-4CF1-ABCD-F7FC1AB76226}" type="parTrans" cxnId="{52707B1E-FCB9-42B1-A0E5-019D2FBAB467}">
      <dgm:prSet/>
      <dgm:spPr/>
      <dgm:t>
        <a:bodyPr/>
        <a:lstStyle/>
        <a:p>
          <a:endParaRPr lang="en-GB"/>
        </a:p>
      </dgm:t>
    </dgm:pt>
    <dgm:pt modelId="{B2941698-0837-4B7E-BAE7-7D77C1C032C0}" type="sibTrans" cxnId="{52707B1E-FCB9-42B1-A0E5-019D2FBAB467}">
      <dgm:prSet/>
      <dgm:spPr/>
      <dgm:t>
        <a:bodyPr/>
        <a:lstStyle/>
        <a:p>
          <a:endParaRPr lang="en-GB"/>
        </a:p>
      </dgm:t>
    </dgm:pt>
    <dgm:pt modelId="{D456899C-59BC-410C-A555-90DFEAF48A01}" type="pres">
      <dgm:prSet presAssocID="{577B207A-C903-4EC6-AF37-6B0C2A5D73DC}" presName="Name0" presStyleCnt="0">
        <dgm:presLayoutVars>
          <dgm:chMax val="7"/>
          <dgm:chPref val="7"/>
          <dgm:dir/>
        </dgm:presLayoutVars>
      </dgm:prSet>
      <dgm:spPr/>
    </dgm:pt>
    <dgm:pt modelId="{D4CC07C7-B0CE-44ED-9603-E4CAECF296C2}" type="pres">
      <dgm:prSet presAssocID="{577B207A-C903-4EC6-AF37-6B0C2A5D73DC}" presName="Name1" presStyleCnt="0"/>
      <dgm:spPr/>
    </dgm:pt>
    <dgm:pt modelId="{4ADE4C93-EFF2-4AF0-ACB8-20815E349242}" type="pres">
      <dgm:prSet presAssocID="{577B207A-C903-4EC6-AF37-6B0C2A5D73DC}" presName="cycle" presStyleCnt="0"/>
      <dgm:spPr/>
    </dgm:pt>
    <dgm:pt modelId="{84D5FEF1-7E60-4362-BB94-31D2368B0A38}" type="pres">
      <dgm:prSet presAssocID="{577B207A-C903-4EC6-AF37-6B0C2A5D73DC}" presName="srcNode" presStyleLbl="node1" presStyleIdx="0" presStyleCnt="3"/>
      <dgm:spPr/>
    </dgm:pt>
    <dgm:pt modelId="{05EF53DF-6021-4767-8D4A-886492B0158A}" type="pres">
      <dgm:prSet presAssocID="{577B207A-C903-4EC6-AF37-6B0C2A5D73DC}" presName="conn" presStyleLbl="parChTrans1D2" presStyleIdx="0" presStyleCnt="1" custLinFactNeighborX="-762" custLinFactNeighborY="762"/>
      <dgm:spPr/>
    </dgm:pt>
    <dgm:pt modelId="{513E5EC4-D9E9-4985-B53E-13EB24DF0958}" type="pres">
      <dgm:prSet presAssocID="{577B207A-C903-4EC6-AF37-6B0C2A5D73DC}" presName="extraNode" presStyleLbl="node1" presStyleIdx="0" presStyleCnt="3"/>
      <dgm:spPr/>
    </dgm:pt>
    <dgm:pt modelId="{0F86744C-6818-4CB3-B034-34B25052D400}" type="pres">
      <dgm:prSet presAssocID="{577B207A-C903-4EC6-AF37-6B0C2A5D73DC}" presName="dstNode" presStyleLbl="node1" presStyleIdx="0" presStyleCnt="3"/>
      <dgm:spPr/>
    </dgm:pt>
    <dgm:pt modelId="{EB396286-FB56-4E91-B33C-2782F7BF99EE}" type="pres">
      <dgm:prSet presAssocID="{AD6AEA1F-6892-44EF-B04E-5A517F16B0DA}" presName="text_1" presStyleLbl="node1" presStyleIdx="0" presStyleCnt="3" custLinFactNeighborX="-420" custLinFactNeighborY="1290">
        <dgm:presLayoutVars>
          <dgm:bulletEnabled val="1"/>
        </dgm:presLayoutVars>
      </dgm:prSet>
      <dgm:spPr/>
    </dgm:pt>
    <dgm:pt modelId="{961BF4EC-0167-459B-AD28-8F978AE59EAD}" type="pres">
      <dgm:prSet presAssocID="{AD6AEA1F-6892-44EF-B04E-5A517F16B0DA}" presName="accent_1" presStyleCnt="0"/>
      <dgm:spPr/>
    </dgm:pt>
    <dgm:pt modelId="{01515B9B-A8AE-48A1-943B-67D190CF1B56}" type="pres">
      <dgm:prSet presAssocID="{AD6AEA1F-6892-44EF-B04E-5A517F16B0DA}" presName="accentRepeatNode" presStyleLbl="solidFgAcc1" presStyleIdx="0" presStyleCnt="3" custLinFactNeighborX="-5544" custLinFactNeighborY="5362"/>
      <dgm:spPr>
        <a:xfrm>
          <a:off x="2648" y="273388"/>
          <a:ext cx="773112" cy="773112"/>
        </a:xfrm>
        <a:prstGeom prst="ellips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pt>
    <dgm:pt modelId="{442F1E04-CC9F-4618-B8F0-06F56549C936}" type="pres">
      <dgm:prSet presAssocID="{FFA18525-B6B4-46FE-9359-DE13C0BF1782}" presName="text_2" presStyleLbl="node1" presStyleIdx="1" presStyleCnt="3">
        <dgm:presLayoutVars>
          <dgm:bulletEnabled val="1"/>
        </dgm:presLayoutVars>
      </dgm:prSet>
      <dgm:spPr/>
    </dgm:pt>
    <dgm:pt modelId="{E886A679-1D20-4423-83FC-3FAD99A8C02D}" type="pres">
      <dgm:prSet presAssocID="{FFA18525-B6B4-46FE-9359-DE13C0BF1782}" presName="accent_2" presStyleCnt="0"/>
      <dgm:spPr/>
    </dgm:pt>
    <dgm:pt modelId="{D5C77015-CBEB-435F-B610-875C16684BBF}" type="pres">
      <dgm:prSet presAssocID="{FFA18525-B6B4-46FE-9359-DE13C0BF1782}" presName="accentRepeatNode" presStyleLbl="solidFgAcc1" presStyleIdx="1" presStyleCnt="3" custLinFactNeighborX="-3899" custLinFactNeighborY="2754"/>
      <dgm:spPr>
        <a:xfrm>
          <a:off x="240187" y="1180960"/>
          <a:ext cx="773112" cy="773112"/>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gm:spPr>
    </dgm:pt>
    <dgm:pt modelId="{35FB6B3D-84C7-4668-9DA3-BBFE2CDD2BE3}" type="pres">
      <dgm:prSet presAssocID="{434FDAD2-669F-422B-966D-016B1A42FDA0}" presName="text_3" presStyleLbl="node1" presStyleIdx="2" presStyleCnt="3" custLinFactNeighborX="-850" custLinFactNeighborY="2899">
        <dgm:presLayoutVars>
          <dgm:bulletEnabled val="1"/>
        </dgm:presLayoutVars>
      </dgm:prSet>
      <dgm:spPr/>
    </dgm:pt>
    <dgm:pt modelId="{A9599A22-F159-4185-85C9-DA26C33EFE0B}" type="pres">
      <dgm:prSet presAssocID="{434FDAD2-669F-422B-966D-016B1A42FDA0}" presName="accent_3" presStyleCnt="0"/>
      <dgm:spPr/>
    </dgm:pt>
    <dgm:pt modelId="{386A9C05-E5E8-4CE8-A8F2-EC3E2BCE0866}" type="pres">
      <dgm:prSet presAssocID="{434FDAD2-669F-422B-966D-016B1A42FDA0}" presName="accentRepeatNode" presStyleLbl="solidFgAcc1" presStyleIdx="2" presStyleCnt="3"/>
      <dgm:spPr>
        <a:xfrm>
          <a:off x="45509" y="2087403"/>
          <a:ext cx="773112" cy="773112"/>
        </a:xfrm>
        <a:prstGeom prst="ellips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pt>
  </dgm:ptLst>
  <dgm:cxnLst>
    <dgm:cxn modelId="{52707B1E-FCB9-42B1-A0E5-019D2FBAB467}" srcId="{577B207A-C903-4EC6-AF37-6B0C2A5D73DC}" destId="{434FDAD2-669F-422B-966D-016B1A42FDA0}" srcOrd="2" destOrd="0" parTransId="{E95A4894-548E-4CF1-ABCD-F7FC1AB76226}" sibTransId="{B2941698-0837-4B7E-BAE7-7D77C1C032C0}"/>
    <dgm:cxn modelId="{5694F422-1C1B-47C8-B2C3-00BDB5CAACD9}" type="presOf" srcId="{577B207A-C903-4EC6-AF37-6B0C2A5D73DC}" destId="{D456899C-59BC-410C-A555-90DFEAF48A01}" srcOrd="0" destOrd="0" presId="urn:microsoft.com/office/officeart/2008/layout/VerticalCurvedList"/>
    <dgm:cxn modelId="{950B226F-E5E0-4F93-8F81-FB63E35512E6}" type="presOf" srcId="{AD6AEA1F-6892-44EF-B04E-5A517F16B0DA}" destId="{EB396286-FB56-4E91-B33C-2782F7BF99EE}" srcOrd="0" destOrd="0" presId="urn:microsoft.com/office/officeart/2008/layout/VerticalCurvedList"/>
    <dgm:cxn modelId="{6B92D77E-A873-4D9B-9192-A512EEE3BD12}" type="presOf" srcId="{434FDAD2-669F-422B-966D-016B1A42FDA0}" destId="{35FB6B3D-84C7-4668-9DA3-BBFE2CDD2BE3}" srcOrd="0" destOrd="0" presId="urn:microsoft.com/office/officeart/2008/layout/VerticalCurvedList"/>
    <dgm:cxn modelId="{093930DB-ED76-413E-8487-21C56609AC85}" type="presOf" srcId="{3B8E7966-74C8-4C56-AB19-62EEFD109046}" destId="{05EF53DF-6021-4767-8D4A-886492B0158A}" srcOrd="0" destOrd="0" presId="urn:microsoft.com/office/officeart/2008/layout/VerticalCurvedList"/>
    <dgm:cxn modelId="{F63955E3-D9DE-4AD3-B5E4-F045CCB8E8DA}" srcId="{577B207A-C903-4EC6-AF37-6B0C2A5D73DC}" destId="{FFA18525-B6B4-46FE-9359-DE13C0BF1782}" srcOrd="1" destOrd="0" parTransId="{95536E35-9E8E-43C1-B106-F66978DDCBF1}" sibTransId="{477748B8-42D0-4FB0-8F69-73CED13ACDBA}"/>
    <dgm:cxn modelId="{869403FC-1485-4718-A023-C6814BCC6D4D}" srcId="{577B207A-C903-4EC6-AF37-6B0C2A5D73DC}" destId="{AD6AEA1F-6892-44EF-B04E-5A517F16B0DA}" srcOrd="0" destOrd="0" parTransId="{A05A0968-22DF-4420-8662-18070245276E}" sibTransId="{3B8E7966-74C8-4C56-AB19-62EEFD109046}"/>
    <dgm:cxn modelId="{5D7C0EFD-2FAD-4868-A09E-092C8A08B0EB}" type="presOf" srcId="{FFA18525-B6B4-46FE-9359-DE13C0BF1782}" destId="{442F1E04-CC9F-4618-B8F0-06F56549C936}" srcOrd="0" destOrd="0" presId="urn:microsoft.com/office/officeart/2008/layout/VerticalCurvedList"/>
    <dgm:cxn modelId="{6CFE56DA-89C1-4366-AE02-FD4BFF647A9B}" type="presParOf" srcId="{D456899C-59BC-410C-A555-90DFEAF48A01}" destId="{D4CC07C7-B0CE-44ED-9603-E4CAECF296C2}" srcOrd="0" destOrd="0" presId="urn:microsoft.com/office/officeart/2008/layout/VerticalCurvedList"/>
    <dgm:cxn modelId="{0304FF16-AF38-4CC7-825C-A14FDFD9E572}" type="presParOf" srcId="{D4CC07C7-B0CE-44ED-9603-E4CAECF296C2}" destId="{4ADE4C93-EFF2-4AF0-ACB8-20815E349242}" srcOrd="0" destOrd="0" presId="urn:microsoft.com/office/officeart/2008/layout/VerticalCurvedList"/>
    <dgm:cxn modelId="{E82C9481-5806-48CE-B539-B20014D31A00}" type="presParOf" srcId="{4ADE4C93-EFF2-4AF0-ACB8-20815E349242}" destId="{84D5FEF1-7E60-4362-BB94-31D2368B0A38}" srcOrd="0" destOrd="0" presId="urn:microsoft.com/office/officeart/2008/layout/VerticalCurvedList"/>
    <dgm:cxn modelId="{9E02DBF0-032F-4F69-A51A-A41FBDE8AD8F}" type="presParOf" srcId="{4ADE4C93-EFF2-4AF0-ACB8-20815E349242}" destId="{05EF53DF-6021-4767-8D4A-886492B0158A}" srcOrd="1" destOrd="0" presId="urn:microsoft.com/office/officeart/2008/layout/VerticalCurvedList"/>
    <dgm:cxn modelId="{7397B1A6-CD85-4244-B2A6-7273CDF3BC0D}" type="presParOf" srcId="{4ADE4C93-EFF2-4AF0-ACB8-20815E349242}" destId="{513E5EC4-D9E9-4985-B53E-13EB24DF0958}" srcOrd="2" destOrd="0" presId="urn:microsoft.com/office/officeart/2008/layout/VerticalCurvedList"/>
    <dgm:cxn modelId="{79A3E484-0E4C-4CC0-8BA7-E80C92D3DE38}" type="presParOf" srcId="{4ADE4C93-EFF2-4AF0-ACB8-20815E349242}" destId="{0F86744C-6818-4CB3-B034-34B25052D400}" srcOrd="3" destOrd="0" presId="urn:microsoft.com/office/officeart/2008/layout/VerticalCurvedList"/>
    <dgm:cxn modelId="{AEBB0606-BC32-4C84-B34B-6F323097CD49}" type="presParOf" srcId="{D4CC07C7-B0CE-44ED-9603-E4CAECF296C2}" destId="{EB396286-FB56-4E91-B33C-2782F7BF99EE}" srcOrd="1" destOrd="0" presId="urn:microsoft.com/office/officeart/2008/layout/VerticalCurvedList"/>
    <dgm:cxn modelId="{61B34BD2-CA36-434B-B52C-EFE58F1E3CE1}" type="presParOf" srcId="{D4CC07C7-B0CE-44ED-9603-E4CAECF296C2}" destId="{961BF4EC-0167-459B-AD28-8F978AE59EAD}" srcOrd="2" destOrd="0" presId="urn:microsoft.com/office/officeart/2008/layout/VerticalCurvedList"/>
    <dgm:cxn modelId="{18F460B7-A1B7-4694-93F0-1A7108019787}" type="presParOf" srcId="{961BF4EC-0167-459B-AD28-8F978AE59EAD}" destId="{01515B9B-A8AE-48A1-943B-67D190CF1B56}" srcOrd="0" destOrd="0" presId="urn:microsoft.com/office/officeart/2008/layout/VerticalCurvedList"/>
    <dgm:cxn modelId="{95DA40DB-19B7-4028-A9A6-65763CC4FAA8}" type="presParOf" srcId="{D4CC07C7-B0CE-44ED-9603-E4CAECF296C2}" destId="{442F1E04-CC9F-4618-B8F0-06F56549C936}" srcOrd="3" destOrd="0" presId="urn:microsoft.com/office/officeart/2008/layout/VerticalCurvedList"/>
    <dgm:cxn modelId="{48959270-F1BB-4A3F-84A3-5483D1CCAF36}" type="presParOf" srcId="{D4CC07C7-B0CE-44ED-9603-E4CAECF296C2}" destId="{E886A679-1D20-4423-83FC-3FAD99A8C02D}" srcOrd="4" destOrd="0" presId="urn:microsoft.com/office/officeart/2008/layout/VerticalCurvedList"/>
    <dgm:cxn modelId="{42AAC744-40CD-4A99-BD36-D3DE74EF4222}" type="presParOf" srcId="{E886A679-1D20-4423-83FC-3FAD99A8C02D}" destId="{D5C77015-CBEB-435F-B610-875C16684BBF}" srcOrd="0" destOrd="0" presId="urn:microsoft.com/office/officeart/2008/layout/VerticalCurvedList"/>
    <dgm:cxn modelId="{7F7CBF2A-D7DE-41CE-81FB-24C762B56BC7}" type="presParOf" srcId="{D4CC07C7-B0CE-44ED-9603-E4CAECF296C2}" destId="{35FB6B3D-84C7-4668-9DA3-BBFE2CDD2BE3}" srcOrd="5" destOrd="0" presId="urn:microsoft.com/office/officeart/2008/layout/VerticalCurvedList"/>
    <dgm:cxn modelId="{238C744E-BC8C-46B0-BD93-4EFEABD61BF5}" type="presParOf" srcId="{D4CC07C7-B0CE-44ED-9603-E4CAECF296C2}" destId="{A9599A22-F159-4185-85C9-DA26C33EFE0B}" srcOrd="6" destOrd="0" presId="urn:microsoft.com/office/officeart/2008/layout/VerticalCurvedList"/>
    <dgm:cxn modelId="{E9986904-7724-41E4-908E-2922C3384DEB}" type="presParOf" srcId="{A9599A22-F159-4185-85C9-DA26C33EFE0B}" destId="{386A9C05-E5E8-4CE8-A8F2-EC3E2BCE0866}" srcOrd="0" destOrd="0" presId="urn:microsoft.com/office/officeart/2008/layout/VerticalCurv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EF53DF-6021-4767-8D4A-886492B0158A}">
      <dsp:nvSpPr>
        <dsp:cNvPr id="0" name=""/>
        <dsp:cNvSpPr/>
      </dsp:nvSpPr>
      <dsp:spPr>
        <a:xfrm>
          <a:off x="-3495141" y="-505548"/>
          <a:ext cx="4167052" cy="4167052"/>
        </a:xfrm>
        <a:prstGeom prst="blockArc">
          <a:avLst>
            <a:gd name="adj1" fmla="val 18900000"/>
            <a:gd name="adj2" fmla="val 2700000"/>
            <a:gd name="adj3" fmla="val 518"/>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396286-FB56-4E91-B33C-2782F7BF99EE}">
      <dsp:nvSpPr>
        <dsp:cNvPr id="0" name=""/>
        <dsp:cNvSpPr/>
      </dsp:nvSpPr>
      <dsp:spPr>
        <a:xfrm>
          <a:off x="409804" y="317223"/>
          <a:ext cx="5300242" cy="618490"/>
        </a:xfrm>
        <a:prstGeom prst="rect">
          <a:avLst/>
        </a:prstGeom>
        <a:solidFill>
          <a:srgbClr val="00B0F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0926" tIns="40640" rIns="40640" bIns="40640" numCol="1" spcCol="1270" anchor="ctr" anchorCtr="0">
          <a:noAutofit/>
        </a:bodyPr>
        <a:lstStyle/>
        <a:p>
          <a:pPr marL="0" lvl="0" indent="0" algn="l" defTabSz="711200">
            <a:lnSpc>
              <a:spcPct val="90000"/>
            </a:lnSpc>
            <a:spcBef>
              <a:spcPct val="0"/>
            </a:spcBef>
            <a:spcAft>
              <a:spcPct val="35000"/>
            </a:spcAft>
            <a:buNone/>
          </a:pPr>
          <a:r>
            <a:rPr lang="en-GB" sz="1600" b="1" kern="1200">
              <a:solidFill>
                <a:sysClr val="window" lastClr="FFFFFF"/>
              </a:solidFill>
              <a:latin typeface="Calibri"/>
              <a:ea typeface="+mn-ea"/>
              <a:cs typeface="+mn-cs"/>
            </a:rPr>
            <a:t>Representation, Recruitment and Retention</a:t>
          </a:r>
        </a:p>
        <a:p>
          <a:pPr marL="0" lvl="0" indent="0" algn="l" defTabSz="711200">
            <a:lnSpc>
              <a:spcPct val="90000"/>
            </a:lnSpc>
            <a:spcBef>
              <a:spcPct val="0"/>
            </a:spcBef>
            <a:spcAft>
              <a:spcPct val="35000"/>
            </a:spcAft>
            <a:buNone/>
          </a:pPr>
          <a:r>
            <a:rPr lang="en-GB" sz="1600" b="1" kern="1200">
              <a:solidFill>
                <a:sysClr val="window" lastClr="FFFFFF"/>
              </a:solidFill>
              <a:latin typeface="Calibri"/>
              <a:ea typeface="+mn-ea"/>
              <a:cs typeface="+mn-cs"/>
            </a:rPr>
            <a:t>WDES Indicators 1 and 10</a:t>
          </a:r>
        </a:p>
      </dsp:txBody>
      <dsp:txXfrm>
        <a:off x="409804" y="317223"/>
        <a:ext cx="5300242" cy="618490"/>
      </dsp:txXfrm>
    </dsp:sp>
    <dsp:sp modelId="{01515B9B-A8AE-48A1-943B-67D190CF1B56}">
      <dsp:nvSpPr>
        <dsp:cNvPr id="0" name=""/>
        <dsp:cNvSpPr/>
      </dsp:nvSpPr>
      <dsp:spPr>
        <a:xfrm>
          <a:off x="2648" y="273388"/>
          <a:ext cx="773112" cy="773112"/>
        </a:xfrm>
        <a:prstGeom prst="ellips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442F1E04-CC9F-4618-B8F0-06F56549C936}">
      <dsp:nvSpPr>
        <dsp:cNvPr id="0" name=""/>
        <dsp:cNvSpPr/>
      </dsp:nvSpPr>
      <dsp:spPr>
        <a:xfrm>
          <a:off x="656887" y="1236980"/>
          <a:ext cx="5075421" cy="618490"/>
        </a:xfrm>
        <a:prstGeom prst="rect">
          <a:avLst/>
        </a:prstGeom>
        <a:solidFill>
          <a:srgbClr val="F7964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0926" tIns="40640" rIns="40640" bIns="40640" numCol="1" spcCol="1270" anchor="ctr" anchorCtr="0">
          <a:noAutofit/>
        </a:bodyPr>
        <a:lstStyle/>
        <a:p>
          <a:pPr marL="0" lvl="0" indent="0" algn="l" defTabSz="711200">
            <a:lnSpc>
              <a:spcPct val="90000"/>
            </a:lnSpc>
            <a:spcBef>
              <a:spcPct val="0"/>
            </a:spcBef>
            <a:spcAft>
              <a:spcPct val="35000"/>
            </a:spcAft>
            <a:buNone/>
          </a:pPr>
          <a:r>
            <a:rPr lang="en-GB" sz="1600" b="1" kern="1200">
              <a:solidFill>
                <a:sysClr val="window" lastClr="FFFFFF"/>
              </a:solidFill>
              <a:latin typeface="Calibri"/>
              <a:ea typeface="+mn-ea"/>
              <a:cs typeface="+mn-cs"/>
            </a:rPr>
            <a:t>Leadership, Learning  and Development</a:t>
          </a:r>
        </a:p>
        <a:p>
          <a:pPr marL="0" lvl="0" indent="0" algn="l" defTabSz="711200">
            <a:lnSpc>
              <a:spcPct val="90000"/>
            </a:lnSpc>
            <a:spcBef>
              <a:spcPct val="0"/>
            </a:spcBef>
            <a:spcAft>
              <a:spcPct val="35000"/>
            </a:spcAft>
            <a:buNone/>
          </a:pPr>
          <a:r>
            <a:rPr lang="en-GB" sz="1600" b="1" kern="1200">
              <a:solidFill>
                <a:sysClr val="window" lastClr="FFFFFF"/>
              </a:solidFill>
              <a:latin typeface="Calibri"/>
              <a:ea typeface="+mn-ea"/>
              <a:cs typeface="+mn-cs"/>
            </a:rPr>
            <a:t>WDES Indicators  2,5,7,9</a:t>
          </a:r>
        </a:p>
      </dsp:txBody>
      <dsp:txXfrm>
        <a:off x="656887" y="1236980"/>
        <a:ext cx="5075421" cy="618490"/>
      </dsp:txXfrm>
    </dsp:sp>
    <dsp:sp modelId="{D5C77015-CBEB-435F-B610-875C16684BBF}">
      <dsp:nvSpPr>
        <dsp:cNvPr id="0" name=""/>
        <dsp:cNvSpPr/>
      </dsp:nvSpPr>
      <dsp:spPr>
        <a:xfrm>
          <a:off x="240187" y="1180960"/>
          <a:ext cx="773112" cy="773112"/>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35FB6B3D-84C7-4668-9DA3-BBFE2CDD2BE3}">
      <dsp:nvSpPr>
        <dsp:cNvPr id="0" name=""/>
        <dsp:cNvSpPr/>
      </dsp:nvSpPr>
      <dsp:spPr>
        <a:xfrm>
          <a:off x="387013" y="2182645"/>
          <a:ext cx="5300242" cy="618490"/>
        </a:xfrm>
        <a:prstGeom prst="rect">
          <a:avLst/>
        </a:prstGeom>
        <a:solidFill>
          <a:srgbClr val="8064A2">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0926" tIns="40640" rIns="40640" bIns="40640" numCol="1" spcCol="1270" anchor="ctr" anchorCtr="0">
          <a:noAutofit/>
        </a:bodyPr>
        <a:lstStyle/>
        <a:p>
          <a:pPr marL="0" lvl="0" indent="0" algn="l" defTabSz="711200">
            <a:lnSpc>
              <a:spcPct val="90000"/>
            </a:lnSpc>
            <a:spcBef>
              <a:spcPct val="0"/>
            </a:spcBef>
            <a:spcAft>
              <a:spcPct val="35000"/>
            </a:spcAft>
            <a:buNone/>
          </a:pPr>
          <a:r>
            <a:rPr lang="en-GB" sz="1600" b="1" kern="1200">
              <a:solidFill>
                <a:sysClr val="window" lastClr="FFFFFF"/>
              </a:solidFill>
              <a:latin typeface="Calibri"/>
              <a:ea typeface="+mn-ea"/>
              <a:cs typeface="+mn-cs"/>
            </a:rPr>
            <a:t>Staff</a:t>
          </a:r>
          <a:r>
            <a:rPr lang="en-GB" sz="1600" kern="1200">
              <a:solidFill>
                <a:sysClr val="window" lastClr="FFFFFF"/>
              </a:solidFill>
              <a:latin typeface="Calibri"/>
              <a:ea typeface="+mn-ea"/>
              <a:cs typeface="+mn-cs"/>
            </a:rPr>
            <a:t> </a:t>
          </a:r>
          <a:r>
            <a:rPr lang="en-GB" sz="1600" b="1" kern="1200">
              <a:solidFill>
                <a:sysClr val="window" lastClr="FFFFFF"/>
              </a:solidFill>
              <a:latin typeface="Calibri"/>
              <a:ea typeface="+mn-ea"/>
              <a:cs typeface="+mn-cs"/>
            </a:rPr>
            <a:t>Experience</a:t>
          </a:r>
        </a:p>
        <a:p>
          <a:pPr marL="0" lvl="0" indent="0" algn="l" defTabSz="711200">
            <a:lnSpc>
              <a:spcPct val="90000"/>
            </a:lnSpc>
            <a:spcBef>
              <a:spcPct val="0"/>
            </a:spcBef>
            <a:spcAft>
              <a:spcPct val="35000"/>
            </a:spcAft>
            <a:buNone/>
          </a:pPr>
          <a:r>
            <a:rPr lang="en-GB" sz="1600" b="1" kern="1200">
              <a:solidFill>
                <a:sysClr val="window" lastClr="FFFFFF"/>
              </a:solidFill>
              <a:latin typeface="Calibri"/>
              <a:ea typeface="+mn-ea"/>
              <a:cs typeface="+mn-cs"/>
            </a:rPr>
            <a:t>WDES Indicators 4,5,6,7,8 and 9 </a:t>
          </a:r>
        </a:p>
      </dsp:txBody>
      <dsp:txXfrm>
        <a:off x="387013" y="2182645"/>
        <a:ext cx="5300242" cy="618490"/>
      </dsp:txXfrm>
    </dsp:sp>
    <dsp:sp modelId="{386A9C05-E5E8-4CE8-A8F2-EC3E2BCE0866}">
      <dsp:nvSpPr>
        <dsp:cNvPr id="0" name=""/>
        <dsp:cNvSpPr/>
      </dsp:nvSpPr>
      <dsp:spPr>
        <a:xfrm>
          <a:off x="45509" y="2087403"/>
          <a:ext cx="773112" cy="773112"/>
        </a:xfrm>
        <a:prstGeom prst="ellips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76D491AD46545B521AF4904FB5914" ma:contentTypeVersion="1" ma:contentTypeDescription="Create a new document." ma:contentTypeScope="" ma:versionID="6dd8c8b1d24df90dd6ce012b0be9ab54">
  <xsd:schema xmlns:xsd="http://www.w3.org/2001/XMLSchema" xmlns:p="http://schemas.microsoft.com/office/2006/metadata/properties" targetNamespace="http://schemas.microsoft.com/office/2006/metadata/properties" ma:root="true" ma:fieldsID="d32a03e3ddd5bd22200fb485dedb82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593E852-60D5-4892-B345-36930DFC4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90ED58B-02C2-4364-A1E8-927BC51190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EA16F5-4E39-4B52-B5C6-1F6C77C1BB3E}">
  <ds:schemaRefs>
    <ds:schemaRef ds:uri="http://schemas.openxmlformats.org/officeDocument/2006/bibliography"/>
  </ds:schemaRefs>
</ds:datastoreItem>
</file>

<file path=customXml/itemProps4.xml><?xml version="1.0" encoding="utf-8"?>
<ds:datastoreItem xmlns:ds="http://schemas.openxmlformats.org/officeDocument/2006/customXml" ds:itemID="{DD683BA5-652D-4E1C-93ED-8A74A8065E25}">
  <ds:schemaRefs>
    <ds:schemaRef ds:uri="http://schemas.microsoft.com/sharepoint/v3/contenttype/forms"/>
  </ds:schemaRefs>
</ds:datastoreItem>
</file>

<file path=customXml/itemProps5.xml><?xml version="1.0" encoding="utf-8"?>
<ds:datastoreItem xmlns:ds="http://schemas.openxmlformats.org/officeDocument/2006/customXml" ds:itemID="{07B05160-CF96-499F-8461-28626E7C9D68}">
  <ds:schemaRefs>
    <ds:schemaRef ds:uri="http://schemas.microsoft.com/office/2006/metadata/long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Leeds Mental Health Trust</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Leeds Mental Health Trust</dc:creator>
  <cp:lastModifiedBy>HESKETH, Victoria (LEEDS AND YORK PARTNERSHIP NHS FOUNDATION TRUST)</cp:lastModifiedBy>
  <cp:revision>2</cp:revision>
  <cp:lastPrinted>2022-06-01T06:42:00Z</cp:lastPrinted>
  <dcterms:created xsi:type="dcterms:W3CDTF">2024-08-20T10:45:00Z</dcterms:created>
  <dcterms:modified xsi:type="dcterms:W3CDTF">2024-08-20T10:45:00Z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