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BCF5" w14:textId="77777777" w:rsidR="000D0E4A" w:rsidRPr="00C2247C" w:rsidRDefault="000D0E4A" w:rsidP="004A361B">
      <w:pPr>
        <w:rPr>
          <w:rFonts w:cs="Arial"/>
          <w:sz w:val="24"/>
        </w:rPr>
      </w:pPr>
    </w:p>
    <w:p w14:paraId="010CBCF6" w14:textId="77777777" w:rsidR="00535D78" w:rsidRPr="00C2247C" w:rsidRDefault="00535D78" w:rsidP="004A361B">
      <w:pPr>
        <w:rPr>
          <w:rFonts w:cs="Arial"/>
          <w:sz w:val="24"/>
        </w:rPr>
      </w:pPr>
    </w:p>
    <w:p w14:paraId="010CBCF7" w14:textId="6CF4D264" w:rsidR="00083404" w:rsidRPr="00C2247C" w:rsidRDefault="00DE2BF8" w:rsidP="00DE2BF8">
      <w:pPr>
        <w:jc w:val="center"/>
        <w:rPr>
          <w:rFonts w:cs="Arial"/>
          <w:b/>
          <w:sz w:val="24"/>
        </w:rPr>
      </w:pPr>
      <w:r w:rsidRPr="00C2247C">
        <w:rPr>
          <w:rFonts w:cs="Arial"/>
          <w:b/>
          <w:sz w:val="24"/>
        </w:rPr>
        <w:t xml:space="preserve">Learning from </w:t>
      </w:r>
      <w:r w:rsidR="00C05FDC" w:rsidRPr="00C2247C">
        <w:rPr>
          <w:rFonts w:cs="Arial"/>
          <w:b/>
          <w:sz w:val="24"/>
        </w:rPr>
        <w:t xml:space="preserve">Healthcare </w:t>
      </w:r>
      <w:r w:rsidRPr="00C2247C">
        <w:rPr>
          <w:rFonts w:cs="Arial"/>
          <w:b/>
          <w:sz w:val="24"/>
        </w:rPr>
        <w:t>Deaths Policy</w:t>
      </w:r>
      <w:r w:rsidR="00BE1C75" w:rsidRPr="00C2247C">
        <w:rPr>
          <w:rFonts w:cs="Arial"/>
          <w:b/>
          <w:sz w:val="24"/>
        </w:rPr>
        <w:t>:</w:t>
      </w:r>
    </w:p>
    <w:p w14:paraId="010CBCF9" w14:textId="77777777" w:rsidR="00083404" w:rsidRPr="00C2247C" w:rsidRDefault="00083404" w:rsidP="00083404">
      <w:pPr>
        <w:rPr>
          <w:rFonts w:cs="Arial"/>
          <w:sz w:val="24"/>
        </w:rPr>
      </w:pPr>
    </w:p>
    <w:p w14:paraId="010CBCFA" w14:textId="77777777" w:rsidR="00083404" w:rsidRPr="00C2247C" w:rsidRDefault="00083404" w:rsidP="00083404">
      <w:pPr>
        <w:rPr>
          <w:rFonts w:cs="Arial"/>
          <w:sz w:val="24"/>
        </w:rPr>
      </w:pPr>
    </w:p>
    <w:p w14:paraId="010CBCFB" w14:textId="77777777" w:rsidR="00624E36" w:rsidRPr="00C2247C" w:rsidRDefault="00624E36" w:rsidP="00083404">
      <w:pPr>
        <w:rPr>
          <w:rFonts w:cs="Arial"/>
          <w:sz w:val="24"/>
        </w:rPr>
      </w:pPr>
    </w:p>
    <w:p w14:paraId="010CBCFC" w14:textId="77777777" w:rsidR="00083404" w:rsidRPr="00C2247C" w:rsidRDefault="00D15B29" w:rsidP="00250BC4">
      <w:pPr>
        <w:spacing w:after="240"/>
        <w:rPr>
          <w:rFonts w:cs="Arial"/>
          <w:sz w:val="24"/>
        </w:rPr>
      </w:pPr>
      <w:r w:rsidRPr="00C2247C">
        <w:rPr>
          <w:rFonts w:cs="Arial"/>
          <w:sz w:val="24"/>
        </w:rPr>
        <w:t>The key messages the reader should note about this document are</w:t>
      </w:r>
      <w:r w:rsidR="00A106B6" w:rsidRPr="00C2247C">
        <w:rPr>
          <w:rFonts w:cs="Arial"/>
          <w:sz w:val="24"/>
        </w:rPr>
        <w:t>:</w:t>
      </w:r>
    </w:p>
    <w:p w14:paraId="010CBCFD" w14:textId="77777777" w:rsidR="002378F9" w:rsidRPr="00C2247C" w:rsidRDefault="002378F9" w:rsidP="002378F9">
      <w:pPr>
        <w:ind w:firstLine="720"/>
        <w:rPr>
          <w:rFonts w:cs="Arial"/>
          <w:sz w:val="24"/>
        </w:rPr>
      </w:pPr>
      <w:r w:rsidRPr="00C2247C">
        <w:rPr>
          <w:rFonts w:cs="Arial"/>
          <w:sz w:val="24"/>
        </w:rPr>
        <w:t xml:space="preserve">The core objectives of this policy are: </w:t>
      </w:r>
    </w:p>
    <w:p w14:paraId="010CBCFE" w14:textId="77777777" w:rsidR="002378F9" w:rsidRPr="00C2247C" w:rsidRDefault="002378F9" w:rsidP="008168F1">
      <w:pPr>
        <w:pStyle w:val="ListParagraph"/>
        <w:numPr>
          <w:ilvl w:val="0"/>
          <w:numId w:val="6"/>
        </w:numPr>
        <w:ind w:left="1134" w:hanging="425"/>
        <w:rPr>
          <w:rFonts w:cs="Arial"/>
          <w:sz w:val="24"/>
        </w:rPr>
      </w:pPr>
      <w:r w:rsidRPr="00C2247C">
        <w:rPr>
          <w:rFonts w:cs="Arial"/>
          <w:sz w:val="24"/>
        </w:rPr>
        <w:t xml:space="preserve">To prioritise and enable consistently effective, meaningful engagement and compassionate support between families, carers and staff that is open and transparent to allow them to raise questions about the care provided to their loved one. </w:t>
      </w:r>
    </w:p>
    <w:p w14:paraId="010CBCFF" w14:textId="77777777" w:rsidR="00AF34C6" w:rsidRPr="00C2247C" w:rsidRDefault="00AF34C6" w:rsidP="00AF34C6">
      <w:pPr>
        <w:pStyle w:val="ListParagraph"/>
        <w:ind w:left="1134"/>
        <w:rPr>
          <w:rFonts w:cs="Arial"/>
          <w:sz w:val="24"/>
        </w:rPr>
      </w:pPr>
    </w:p>
    <w:p w14:paraId="010CBD00" w14:textId="77777777" w:rsidR="00AF34C6" w:rsidRPr="00C2247C" w:rsidRDefault="002378F9" w:rsidP="008168F1">
      <w:pPr>
        <w:pStyle w:val="ListParagraph"/>
        <w:numPr>
          <w:ilvl w:val="0"/>
          <w:numId w:val="6"/>
        </w:numPr>
        <w:ind w:left="1134" w:hanging="425"/>
        <w:rPr>
          <w:rFonts w:cs="Arial"/>
          <w:sz w:val="24"/>
        </w:rPr>
      </w:pPr>
      <w:r w:rsidRPr="00C2247C">
        <w:rPr>
          <w:rFonts w:cs="Arial"/>
          <w:sz w:val="24"/>
        </w:rPr>
        <w:t>To help to identify what can be improved to ultimately reduce the inequality in the life expectancy of people with a serious mental illness/learning disability.</w:t>
      </w:r>
    </w:p>
    <w:p w14:paraId="010CBD01" w14:textId="77777777" w:rsidR="00AF34C6" w:rsidRPr="00C2247C" w:rsidRDefault="00AF34C6" w:rsidP="00AF34C6">
      <w:pPr>
        <w:pStyle w:val="ListParagraph"/>
        <w:rPr>
          <w:rFonts w:cs="Arial"/>
          <w:sz w:val="24"/>
        </w:rPr>
      </w:pPr>
    </w:p>
    <w:p w14:paraId="010CBD04" w14:textId="77777777" w:rsidR="002378F9" w:rsidRPr="00C2247C" w:rsidRDefault="002378F9" w:rsidP="008168F1">
      <w:pPr>
        <w:pStyle w:val="ListParagraph"/>
        <w:numPr>
          <w:ilvl w:val="0"/>
          <w:numId w:val="6"/>
        </w:numPr>
        <w:ind w:left="1134" w:hanging="425"/>
        <w:rPr>
          <w:rFonts w:cs="Arial"/>
          <w:sz w:val="24"/>
        </w:rPr>
      </w:pPr>
      <w:r w:rsidRPr="00C2247C">
        <w:rPr>
          <w:rFonts w:cs="Arial"/>
          <w:sz w:val="24"/>
        </w:rPr>
        <w:t>To enhance learning at a personal, team and organisational level.</w:t>
      </w:r>
    </w:p>
    <w:p w14:paraId="010CBD05" w14:textId="77777777" w:rsidR="00AF34C6" w:rsidRPr="00C2247C" w:rsidRDefault="00AF34C6" w:rsidP="00AF34C6">
      <w:pPr>
        <w:pStyle w:val="ListParagraph"/>
        <w:ind w:left="1134"/>
        <w:rPr>
          <w:rFonts w:cs="Arial"/>
          <w:sz w:val="24"/>
        </w:rPr>
      </w:pPr>
    </w:p>
    <w:p w14:paraId="010CBD06" w14:textId="795A2FE0" w:rsidR="00AF34C6" w:rsidRPr="00C2247C" w:rsidRDefault="002378F9" w:rsidP="008168F1">
      <w:pPr>
        <w:pStyle w:val="ListParagraph"/>
        <w:numPr>
          <w:ilvl w:val="0"/>
          <w:numId w:val="6"/>
        </w:numPr>
        <w:ind w:left="1134" w:hanging="425"/>
        <w:rPr>
          <w:rFonts w:cs="Arial"/>
          <w:sz w:val="24"/>
        </w:rPr>
      </w:pPr>
      <w:r w:rsidRPr="00C2247C">
        <w:rPr>
          <w:rFonts w:cs="Arial"/>
          <w:sz w:val="24"/>
        </w:rPr>
        <w:t>To ensure the Trust engages with other stake</w:t>
      </w:r>
      <w:r w:rsidR="000124E9" w:rsidRPr="00C2247C">
        <w:rPr>
          <w:rFonts w:cs="Arial"/>
          <w:sz w:val="24"/>
        </w:rPr>
        <w:t>holders (Acute Trusts. Primary C</w:t>
      </w:r>
      <w:r w:rsidRPr="00C2247C">
        <w:rPr>
          <w:rFonts w:cs="Arial"/>
          <w:sz w:val="24"/>
        </w:rPr>
        <w:t xml:space="preserve">are, </w:t>
      </w:r>
      <w:r w:rsidR="000124E9" w:rsidRPr="00C2247C">
        <w:rPr>
          <w:rFonts w:cs="Arial"/>
          <w:sz w:val="24"/>
        </w:rPr>
        <w:t>P</w:t>
      </w:r>
      <w:r w:rsidRPr="00C2247C">
        <w:rPr>
          <w:rFonts w:cs="Arial"/>
          <w:sz w:val="24"/>
        </w:rPr>
        <w:t xml:space="preserve">ublic </w:t>
      </w:r>
      <w:r w:rsidR="000124E9" w:rsidRPr="00C2247C">
        <w:rPr>
          <w:rFonts w:cs="Arial"/>
          <w:sz w:val="24"/>
        </w:rPr>
        <w:t>H</w:t>
      </w:r>
      <w:r w:rsidRPr="00C2247C">
        <w:rPr>
          <w:rFonts w:cs="Arial"/>
          <w:sz w:val="24"/>
        </w:rPr>
        <w:t xml:space="preserve">ealth, </w:t>
      </w:r>
      <w:r w:rsidR="000124E9" w:rsidRPr="00C2247C">
        <w:rPr>
          <w:rFonts w:cs="Arial"/>
          <w:sz w:val="24"/>
        </w:rPr>
        <w:t xml:space="preserve">Third Sector, </w:t>
      </w:r>
      <w:r w:rsidRPr="00C2247C">
        <w:rPr>
          <w:rFonts w:cs="Arial"/>
          <w:sz w:val="24"/>
        </w:rPr>
        <w:t xml:space="preserve">Safeguarding, </w:t>
      </w:r>
      <w:r w:rsidR="002B213B" w:rsidRPr="00C2247C">
        <w:rPr>
          <w:rFonts w:cs="Arial"/>
          <w:sz w:val="24"/>
        </w:rPr>
        <w:t>Health,</w:t>
      </w:r>
      <w:r w:rsidRPr="00C2247C">
        <w:rPr>
          <w:rFonts w:cs="Arial"/>
          <w:sz w:val="24"/>
        </w:rPr>
        <w:t xml:space="preserve"> and Wellbeing Boards etc.) to work collaboratively, sharing relevant information and expertise to maximize learning from </w:t>
      </w:r>
      <w:r w:rsidR="00A51759" w:rsidRPr="00C2247C">
        <w:rPr>
          <w:rFonts w:cs="Arial"/>
          <w:sz w:val="24"/>
        </w:rPr>
        <w:t>deaths.</w:t>
      </w:r>
    </w:p>
    <w:p w14:paraId="010CBD09" w14:textId="77777777" w:rsidR="002378F9" w:rsidRPr="00C2247C" w:rsidRDefault="002378F9" w:rsidP="00250BC4">
      <w:pPr>
        <w:spacing w:after="240"/>
        <w:rPr>
          <w:rFonts w:cs="Arial"/>
          <w:sz w:val="24"/>
        </w:rPr>
      </w:pPr>
    </w:p>
    <w:p w14:paraId="010CBD0A" w14:textId="263EC95A" w:rsidR="00D15B29" w:rsidRDefault="00D15B29" w:rsidP="00083404">
      <w:pPr>
        <w:rPr>
          <w:rFonts w:cs="Arial"/>
          <w:sz w:val="24"/>
        </w:rPr>
      </w:pPr>
    </w:p>
    <w:p w14:paraId="51BF3C37" w14:textId="3075DE80" w:rsidR="00825962" w:rsidRDefault="00825962" w:rsidP="00083404">
      <w:pPr>
        <w:rPr>
          <w:rFonts w:cs="Arial"/>
          <w:sz w:val="24"/>
        </w:rPr>
      </w:pPr>
    </w:p>
    <w:p w14:paraId="34E5AA25" w14:textId="69BD1884" w:rsidR="00825962" w:rsidRDefault="00825962" w:rsidP="00083404">
      <w:pPr>
        <w:rPr>
          <w:rFonts w:cs="Arial"/>
          <w:sz w:val="24"/>
        </w:rPr>
      </w:pPr>
    </w:p>
    <w:p w14:paraId="1662804F" w14:textId="5BE10FF1" w:rsidR="00825962" w:rsidRDefault="00825962" w:rsidP="00083404">
      <w:pPr>
        <w:rPr>
          <w:rFonts w:cs="Arial"/>
          <w:sz w:val="24"/>
        </w:rPr>
      </w:pPr>
    </w:p>
    <w:p w14:paraId="642D880F" w14:textId="41C99CCA" w:rsidR="00825962" w:rsidRDefault="00825962" w:rsidP="00083404">
      <w:pPr>
        <w:rPr>
          <w:rFonts w:cs="Arial"/>
          <w:sz w:val="24"/>
        </w:rPr>
      </w:pPr>
    </w:p>
    <w:p w14:paraId="6E90B617" w14:textId="40A67FD9" w:rsidR="00825962" w:rsidRDefault="00825962" w:rsidP="00083404">
      <w:pPr>
        <w:rPr>
          <w:rFonts w:cs="Arial"/>
          <w:sz w:val="24"/>
        </w:rPr>
      </w:pPr>
    </w:p>
    <w:p w14:paraId="4E838C76" w14:textId="27B06289" w:rsidR="00825962" w:rsidRDefault="00825962" w:rsidP="00083404">
      <w:pPr>
        <w:rPr>
          <w:rFonts w:cs="Arial"/>
          <w:sz w:val="24"/>
        </w:rPr>
      </w:pPr>
    </w:p>
    <w:p w14:paraId="34C0E92D" w14:textId="67BE4128" w:rsidR="00825962" w:rsidRDefault="00825962" w:rsidP="00083404">
      <w:pPr>
        <w:rPr>
          <w:rFonts w:cs="Arial"/>
          <w:sz w:val="24"/>
        </w:rPr>
      </w:pPr>
    </w:p>
    <w:p w14:paraId="08D68542" w14:textId="77777777" w:rsidR="00825962" w:rsidRPr="00C2247C" w:rsidRDefault="00825962" w:rsidP="00083404">
      <w:pPr>
        <w:rPr>
          <w:rFonts w:cs="Arial"/>
          <w:sz w:val="24"/>
        </w:rPr>
      </w:pPr>
    </w:p>
    <w:p w14:paraId="51799489" w14:textId="77777777" w:rsidR="00AE4F6A" w:rsidRPr="00C2247C" w:rsidRDefault="00AE4F6A" w:rsidP="00083404">
      <w:pPr>
        <w:rPr>
          <w:rFonts w:cs="Arial"/>
          <w:sz w:val="24"/>
        </w:rPr>
      </w:pPr>
    </w:p>
    <w:p w14:paraId="010CBD10" w14:textId="77777777" w:rsidR="00EB6BCF" w:rsidRPr="00C2247C" w:rsidRDefault="00EB6BCF" w:rsidP="00EB6BCF">
      <w:pPr>
        <w:spacing w:before="0" w:after="0"/>
        <w:rPr>
          <w:rFonts w:cs="Arial"/>
          <w:sz w:val="24"/>
        </w:rPr>
      </w:pPr>
      <w:r w:rsidRPr="00C2247C">
        <w:rPr>
          <w:rFonts w:cs="Arial"/>
          <w:b/>
          <w:bCs/>
          <w:sz w:val="24"/>
        </w:rPr>
        <w:lastRenderedPageBreak/>
        <w:t>DOCUMENT SUMMARY SHEET</w:t>
      </w:r>
    </w:p>
    <w:p w14:paraId="010CBD11" w14:textId="77777777" w:rsidR="00EB6BCF" w:rsidRPr="00C2247C" w:rsidRDefault="00EB6BCF" w:rsidP="00EB6BCF">
      <w:pPr>
        <w:spacing w:before="0" w:after="0"/>
        <w:jc w:val="left"/>
        <w:rPr>
          <w:rFonts w:cs="Arial"/>
          <w:sz w:val="24"/>
        </w:rPr>
      </w:pPr>
      <w:r w:rsidRPr="00C2247C">
        <w:rPr>
          <w:rFonts w:cs="Arial"/>
          <w:sz w:val="24"/>
        </w:rPr>
        <w:t xml:space="preserve">ALL sections of this form must be completed.  </w:t>
      </w:r>
    </w:p>
    <w:p w14:paraId="010CBD12" w14:textId="77777777" w:rsidR="00EB6BCF" w:rsidRPr="00C2247C" w:rsidRDefault="00EB6BCF" w:rsidP="00EB6BCF">
      <w:pPr>
        <w:spacing w:before="0" w:after="0"/>
        <w:jc w:val="left"/>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331"/>
      </w:tblGrid>
      <w:tr w:rsidR="00EB6BCF" w:rsidRPr="00C2247C" w14:paraId="010CBD16" w14:textId="77777777" w:rsidTr="00EB6BCF">
        <w:trPr>
          <w:cantSplit/>
        </w:trPr>
        <w:tc>
          <w:tcPr>
            <w:tcW w:w="4788" w:type="dxa"/>
          </w:tcPr>
          <w:p w14:paraId="010CBD13" w14:textId="77777777" w:rsidR="00EB6BCF" w:rsidRPr="00C2247C" w:rsidRDefault="00B377C2" w:rsidP="00EB6BCF">
            <w:pPr>
              <w:pStyle w:val="Heading5"/>
              <w:ind w:right="0"/>
              <w:rPr>
                <w:rFonts w:cs="Arial"/>
              </w:rPr>
            </w:pPr>
            <w:r w:rsidRPr="00C2247C">
              <w:rPr>
                <w:rFonts w:cs="Arial"/>
              </w:rPr>
              <w:t>Document title</w:t>
            </w:r>
          </w:p>
          <w:p w14:paraId="010CBD14" w14:textId="77777777" w:rsidR="00EB6BCF" w:rsidRPr="00C2247C" w:rsidRDefault="00EB6BCF" w:rsidP="00EB6BCF">
            <w:pPr>
              <w:spacing w:before="0" w:after="0"/>
              <w:rPr>
                <w:rFonts w:cs="Arial"/>
                <w:sz w:val="24"/>
              </w:rPr>
            </w:pPr>
          </w:p>
        </w:tc>
        <w:tc>
          <w:tcPr>
            <w:tcW w:w="4454" w:type="dxa"/>
          </w:tcPr>
          <w:p w14:paraId="00BE0F7E" w14:textId="77777777" w:rsidR="00EB6BCF" w:rsidRDefault="00DE2BF8" w:rsidP="00EB6BCF">
            <w:pPr>
              <w:tabs>
                <w:tab w:val="left" w:pos="4238"/>
              </w:tabs>
              <w:spacing w:before="0" w:after="0"/>
              <w:jc w:val="left"/>
              <w:rPr>
                <w:rFonts w:cs="Arial"/>
                <w:sz w:val="24"/>
              </w:rPr>
            </w:pPr>
            <w:r w:rsidRPr="00C2247C">
              <w:rPr>
                <w:rFonts w:cs="Arial"/>
                <w:sz w:val="24"/>
              </w:rPr>
              <w:t xml:space="preserve">Learning from </w:t>
            </w:r>
            <w:r w:rsidR="00C05FDC" w:rsidRPr="00C2247C">
              <w:rPr>
                <w:rFonts w:cs="Arial"/>
                <w:sz w:val="24"/>
              </w:rPr>
              <w:t xml:space="preserve">Healthcare </w:t>
            </w:r>
            <w:r w:rsidRPr="00C2247C">
              <w:rPr>
                <w:rFonts w:cs="Arial"/>
                <w:sz w:val="24"/>
              </w:rPr>
              <w:t>Deaths Policy</w:t>
            </w:r>
          </w:p>
          <w:p w14:paraId="010CBD15" w14:textId="01ED1EAA" w:rsidR="00235A00" w:rsidRPr="00C2247C" w:rsidRDefault="00235A00" w:rsidP="00EB6BCF">
            <w:pPr>
              <w:tabs>
                <w:tab w:val="left" w:pos="4238"/>
              </w:tabs>
              <w:spacing w:before="0" w:after="0"/>
              <w:jc w:val="left"/>
              <w:rPr>
                <w:rFonts w:cs="Arial"/>
                <w:sz w:val="24"/>
              </w:rPr>
            </w:pPr>
          </w:p>
        </w:tc>
      </w:tr>
      <w:tr w:rsidR="00EB6BCF" w:rsidRPr="00C2247C" w14:paraId="010CBD1A" w14:textId="77777777" w:rsidTr="00EB6BCF">
        <w:trPr>
          <w:cantSplit/>
        </w:trPr>
        <w:tc>
          <w:tcPr>
            <w:tcW w:w="4788" w:type="dxa"/>
          </w:tcPr>
          <w:p w14:paraId="010CBD17" w14:textId="77777777" w:rsidR="00EB6BCF" w:rsidRPr="00C2247C" w:rsidRDefault="00EB6BCF" w:rsidP="00EB6BCF">
            <w:pPr>
              <w:spacing w:before="0" w:after="0"/>
              <w:jc w:val="left"/>
              <w:rPr>
                <w:rFonts w:cs="Arial"/>
                <w:b/>
                <w:sz w:val="24"/>
              </w:rPr>
            </w:pPr>
            <w:r w:rsidRPr="00C2247C">
              <w:rPr>
                <w:rFonts w:cs="Arial"/>
                <w:b/>
                <w:sz w:val="24"/>
              </w:rPr>
              <w:t>Document Reference Number</w:t>
            </w:r>
          </w:p>
          <w:p w14:paraId="010CBD18" w14:textId="77777777" w:rsidR="00EB6BCF" w:rsidRPr="00C2247C" w:rsidRDefault="00EB6BCF" w:rsidP="00EB6BCF">
            <w:pPr>
              <w:spacing w:before="0" w:after="0"/>
              <w:jc w:val="left"/>
              <w:rPr>
                <w:rFonts w:cs="Arial"/>
                <w:b/>
                <w:sz w:val="24"/>
              </w:rPr>
            </w:pPr>
          </w:p>
        </w:tc>
        <w:tc>
          <w:tcPr>
            <w:tcW w:w="4454" w:type="dxa"/>
          </w:tcPr>
          <w:p w14:paraId="010CBD19" w14:textId="77777777" w:rsidR="00EB6BCF" w:rsidRPr="00C2247C" w:rsidRDefault="00E7456D" w:rsidP="00EB6BCF">
            <w:pPr>
              <w:tabs>
                <w:tab w:val="left" w:pos="4238"/>
              </w:tabs>
              <w:spacing w:before="0" w:after="0"/>
              <w:jc w:val="left"/>
              <w:rPr>
                <w:rFonts w:cs="Arial"/>
                <w:bCs/>
                <w:sz w:val="24"/>
              </w:rPr>
            </w:pPr>
            <w:r w:rsidRPr="00C2247C">
              <w:rPr>
                <w:rFonts w:cs="Arial"/>
                <w:bCs/>
                <w:sz w:val="24"/>
              </w:rPr>
              <w:t>C-0010</w:t>
            </w:r>
          </w:p>
        </w:tc>
      </w:tr>
      <w:tr w:rsidR="00EC557A" w:rsidRPr="00C2247C" w14:paraId="010CBD1E" w14:textId="77777777" w:rsidTr="00EB6BCF">
        <w:trPr>
          <w:cantSplit/>
        </w:trPr>
        <w:tc>
          <w:tcPr>
            <w:tcW w:w="4788" w:type="dxa"/>
          </w:tcPr>
          <w:p w14:paraId="010CBD1B" w14:textId="77777777" w:rsidR="00EC557A" w:rsidRPr="00C2247C" w:rsidRDefault="00EC557A" w:rsidP="00EB6BCF">
            <w:pPr>
              <w:spacing w:before="0" w:after="0"/>
              <w:jc w:val="left"/>
              <w:rPr>
                <w:rFonts w:cs="Arial"/>
                <w:b/>
                <w:sz w:val="24"/>
              </w:rPr>
            </w:pPr>
            <w:r w:rsidRPr="00C2247C">
              <w:rPr>
                <w:rFonts w:cs="Arial"/>
                <w:b/>
                <w:sz w:val="24"/>
              </w:rPr>
              <w:t xml:space="preserve">Key </w:t>
            </w:r>
            <w:r w:rsidR="00B377C2" w:rsidRPr="00C2247C">
              <w:rPr>
                <w:rFonts w:cs="Arial"/>
                <w:b/>
                <w:sz w:val="24"/>
              </w:rPr>
              <w:t>searchable words</w:t>
            </w:r>
          </w:p>
          <w:p w14:paraId="010CBD1C" w14:textId="77777777" w:rsidR="000235E9" w:rsidRPr="00C2247C" w:rsidRDefault="000235E9" w:rsidP="00EB6BCF">
            <w:pPr>
              <w:spacing w:before="0" w:after="0"/>
              <w:jc w:val="left"/>
              <w:rPr>
                <w:rFonts w:cs="Arial"/>
                <w:b/>
                <w:sz w:val="24"/>
              </w:rPr>
            </w:pPr>
          </w:p>
        </w:tc>
        <w:tc>
          <w:tcPr>
            <w:tcW w:w="4454" w:type="dxa"/>
          </w:tcPr>
          <w:p w14:paraId="010CBD1D" w14:textId="77777777" w:rsidR="00EC557A" w:rsidRPr="00C2247C" w:rsidRDefault="00E7456D" w:rsidP="00EB6BCF">
            <w:pPr>
              <w:tabs>
                <w:tab w:val="left" w:pos="4238"/>
              </w:tabs>
              <w:spacing w:before="0" w:after="0"/>
              <w:jc w:val="left"/>
              <w:rPr>
                <w:rFonts w:cs="Arial"/>
                <w:bCs/>
                <w:i/>
                <w:sz w:val="24"/>
              </w:rPr>
            </w:pPr>
            <w:r w:rsidRPr="00C2247C">
              <w:rPr>
                <w:rFonts w:cs="Arial"/>
                <w:bCs/>
                <w:i/>
                <w:sz w:val="24"/>
              </w:rPr>
              <w:t>Mortality, learning.</w:t>
            </w:r>
          </w:p>
        </w:tc>
      </w:tr>
      <w:tr w:rsidR="00EC557A" w:rsidRPr="00C2247C" w14:paraId="010CBD22" w14:textId="77777777" w:rsidTr="00EB6BCF">
        <w:trPr>
          <w:cantSplit/>
        </w:trPr>
        <w:tc>
          <w:tcPr>
            <w:tcW w:w="4788" w:type="dxa"/>
          </w:tcPr>
          <w:p w14:paraId="010CBD1F" w14:textId="77777777" w:rsidR="00EC557A" w:rsidRPr="00C2247C" w:rsidRDefault="00EC557A" w:rsidP="00EB6BCF">
            <w:pPr>
              <w:spacing w:before="0" w:after="0"/>
              <w:jc w:val="left"/>
              <w:rPr>
                <w:rFonts w:cs="Arial"/>
                <w:b/>
                <w:sz w:val="24"/>
              </w:rPr>
            </w:pPr>
            <w:r w:rsidRPr="00C2247C">
              <w:rPr>
                <w:rFonts w:cs="Arial"/>
                <w:b/>
                <w:sz w:val="24"/>
              </w:rPr>
              <w:t xml:space="preserve">Executive Team </w:t>
            </w:r>
            <w:r w:rsidR="00B377C2" w:rsidRPr="00C2247C">
              <w:rPr>
                <w:rFonts w:cs="Arial"/>
                <w:b/>
                <w:sz w:val="24"/>
              </w:rPr>
              <w:t>member r</w:t>
            </w:r>
            <w:r w:rsidRPr="00C2247C">
              <w:rPr>
                <w:rFonts w:cs="Arial"/>
                <w:b/>
                <w:sz w:val="24"/>
              </w:rPr>
              <w:t>esponsible (</w:t>
            </w:r>
            <w:r w:rsidR="00B377C2" w:rsidRPr="00C2247C">
              <w:rPr>
                <w:rFonts w:cs="Arial"/>
                <w:b/>
                <w:sz w:val="24"/>
              </w:rPr>
              <w:t>title)</w:t>
            </w:r>
          </w:p>
          <w:p w14:paraId="010CBD20" w14:textId="77777777" w:rsidR="00EC557A" w:rsidRPr="00C2247C" w:rsidRDefault="00EC557A" w:rsidP="00EB6BCF">
            <w:pPr>
              <w:spacing w:before="0" w:after="0"/>
              <w:jc w:val="left"/>
              <w:rPr>
                <w:rFonts w:cs="Arial"/>
                <w:b/>
                <w:sz w:val="24"/>
              </w:rPr>
            </w:pPr>
          </w:p>
        </w:tc>
        <w:tc>
          <w:tcPr>
            <w:tcW w:w="4454" w:type="dxa"/>
          </w:tcPr>
          <w:p w14:paraId="010CBD21" w14:textId="1795597C" w:rsidR="00EC557A" w:rsidRPr="00C2247C" w:rsidRDefault="00C05FDC" w:rsidP="00EB6BCF">
            <w:pPr>
              <w:tabs>
                <w:tab w:val="left" w:pos="4238"/>
              </w:tabs>
              <w:spacing w:before="0" w:after="0"/>
              <w:rPr>
                <w:rFonts w:cs="Arial"/>
                <w:sz w:val="24"/>
              </w:rPr>
            </w:pPr>
            <w:r w:rsidRPr="00C2247C">
              <w:rPr>
                <w:rFonts w:cs="Arial"/>
                <w:sz w:val="24"/>
              </w:rPr>
              <w:t>Dr Chris Hosker</w:t>
            </w:r>
            <w:r w:rsidR="00DE2BF8" w:rsidRPr="00C2247C">
              <w:rPr>
                <w:rFonts w:cs="Arial"/>
                <w:sz w:val="24"/>
              </w:rPr>
              <w:t>, Medical Director</w:t>
            </w:r>
          </w:p>
        </w:tc>
      </w:tr>
      <w:tr w:rsidR="00EC557A" w:rsidRPr="00C2247C" w14:paraId="010CBD26" w14:textId="77777777" w:rsidTr="00EB6BCF">
        <w:trPr>
          <w:cantSplit/>
        </w:trPr>
        <w:tc>
          <w:tcPr>
            <w:tcW w:w="4788" w:type="dxa"/>
          </w:tcPr>
          <w:p w14:paraId="010CBD23" w14:textId="77777777" w:rsidR="00EC557A" w:rsidRPr="00C2247C" w:rsidRDefault="00EC557A" w:rsidP="00EB6BCF">
            <w:pPr>
              <w:spacing w:before="0" w:after="0"/>
              <w:jc w:val="left"/>
              <w:rPr>
                <w:rFonts w:cs="Arial"/>
                <w:b/>
                <w:sz w:val="24"/>
              </w:rPr>
            </w:pPr>
            <w:r w:rsidRPr="00C2247C">
              <w:rPr>
                <w:rFonts w:cs="Arial"/>
                <w:b/>
                <w:sz w:val="24"/>
              </w:rPr>
              <w:t>D</w:t>
            </w:r>
            <w:r w:rsidR="00B377C2" w:rsidRPr="00C2247C">
              <w:rPr>
                <w:rFonts w:cs="Arial"/>
                <w:b/>
                <w:sz w:val="24"/>
              </w:rPr>
              <w:t>ocument author (name and title)</w:t>
            </w:r>
          </w:p>
          <w:p w14:paraId="010CBD24" w14:textId="77777777" w:rsidR="000235E9" w:rsidRPr="00C2247C" w:rsidRDefault="000235E9" w:rsidP="00EB6BCF">
            <w:pPr>
              <w:spacing w:before="0" w:after="0"/>
              <w:jc w:val="left"/>
              <w:rPr>
                <w:rFonts w:cs="Arial"/>
                <w:b/>
                <w:sz w:val="24"/>
              </w:rPr>
            </w:pPr>
          </w:p>
        </w:tc>
        <w:tc>
          <w:tcPr>
            <w:tcW w:w="4454" w:type="dxa"/>
          </w:tcPr>
          <w:p w14:paraId="3B485B73" w14:textId="77777777" w:rsidR="00282566" w:rsidRDefault="00C05FDC" w:rsidP="00EB6BCF">
            <w:pPr>
              <w:tabs>
                <w:tab w:val="left" w:pos="4238"/>
              </w:tabs>
              <w:spacing w:before="0" w:after="0"/>
              <w:jc w:val="left"/>
              <w:rPr>
                <w:rFonts w:cs="Arial"/>
                <w:bCs/>
                <w:sz w:val="24"/>
              </w:rPr>
            </w:pPr>
            <w:r w:rsidRPr="00C2247C">
              <w:rPr>
                <w:rFonts w:cs="Arial"/>
                <w:bCs/>
                <w:sz w:val="24"/>
              </w:rPr>
              <w:t>Cath Wardle, Head of Clinical Governance, Patient Safety</w:t>
            </w:r>
          </w:p>
          <w:p w14:paraId="010CBD25" w14:textId="1664FCF1" w:rsidR="00235A00" w:rsidRPr="00C2247C" w:rsidRDefault="00235A00" w:rsidP="00EB6BCF">
            <w:pPr>
              <w:tabs>
                <w:tab w:val="left" w:pos="4238"/>
              </w:tabs>
              <w:spacing w:before="0" w:after="0"/>
              <w:jc w:val="left"/>
              <w:rPr>
                <w:rFonts w:cs="Arial"/>
                <w:bCs/>
                <w:sz w:val="24"/>
              </w:rPr>
            </w:pPr>
          </w:p>
        </w:tc>
      </w:tr>
      <w:tr w:rsidR="00EC557A" w:rsidRPr="00C2247C" w14:paraId="010CBD2A" w14:textId="77777777" w:rsidTr="00EB6BCF">
        <w:trPr>
          <w:cantSplit/>
        </w:trPr>
        <w:tc>
          <w:tcPr>
            <w:tcW w:w="4788" w:type="dxa"/>
          </w:tcPr>
          <w:p w14:paraId="010CBD27" w14:textId="77777777" w:rsidR="00EC557A" w:rsidRPr="00C2247C" w:rsidRDefault="00EC557A" w:rsidP="00EB6BCF">
            <w:pPr>
              <w:spacing w:before="0" w:after="0"/>
              <w:jc w:val="left"/>
              <w:rPr>
                <w:rFonts w:cs="Arial"/>
                <w:b/>
                <w:sz w:val="24"/>
              </w:rPr>
            </w:pPr>
            <w:r w:rsidRPr="00C2247C">
              <w:rPr>
                <w:rFonts w:cs="Arial"/>
                <w:b/>
                <w:sz w:val="24"/>
              </w:rPr>
              <w:t xml:space="preserve">Approved </w:t>
            </w:r>
            <w:r w:rsidR="00B377C2" w:rsidRPr="00C2247C">
              <w:rPr>
                <w:rFonts w:cs="Arial"/>
                <w:b/>
                <w:sz w:val="24"/>
              </w:rPr>
              <w:t>by (Committee/Group)</w:t>
            </w:r>
          </w:p>
          <w:p w14:paraId="010CBD28" w14:textId="77777777" w:rsidR="00EC557A" w:rsidRPr="00C2247C" w:rsidRDefault="00EC557A" w:rsidP="00EB6BCF">
            <w:pPr>
              <w:spacing w:before="0" w:after="0"/>
              <w:jc w:val="left"/>
              <w:rPr>
                <w:rFonts w:cs="Arial"/>
                <w:b/>
                <w:sz w:val="24"/>
              </w:rPr>
            </w:pPr>
          </w:p>
        </w:tc>
        <w:tc>
          <w:tcPr>
            <w:tcW w:w="4454" w:type="dxa"/>
          </w:tcPr>
          <w:p w14:paraId="45289DE9" w14:textId="77777777" w:rsidR="00EC557A" w:rsidRDefault="000803F9" w:rsidP="00EB6BCF">
            <w:pPr>
              <w:pStyle w:val="BodyText2"/>
              <w:tabs>
                <w:tab w:val="left" w:pos="4238"/>
              </w:tabs>
              <w:rPr>
                <w:rFonts w:cs="Arial"/>
                <w:bCs w:val="0"/>
              </w:rPr>
            </w:pPr>
            <w:r w:rsidRPr="00C2247C">
              <w:rPr>
                <w:rFonts w:cs="Arial"/>
                <w:bCs w:val="0"/>
              </w:rPr>
              <w:t>Learning from Incidents and Mortality Meeting</w:t>
            </w:r>
            <w:r w:rsidR="00C05FDC" w:rsidRPr="00C2247C">
              <w:rPr>
                <w:rFonts w:cs="Arial"/>
                <w:bCs w:val="0"/>
              </w:rPr>
              <w:t xml:space="preserve"> (LIMM)</w:t>
            </w:r>
          </w:p>
          <w:p w14:paraId="010CBD29" w14:textId="61E91071" w:rsidR="00235A00" w:rsidRPr="00C2247C" w:rsidRDefault="00235A00" w:rsidP="00EB6BCF">
            <w:pPr>
              <w:pStyle w:val="BodyText2"/>
              <w:tabs>
                <w:tab w:val="left" w:pos="4238"/>
              </w:tabs>
              <w:rPr>
                <w:rFonts w:cs="Arial"/>
                <w:bCs w:val="0"/>
              </w:rPr>
            </w:pPr>
          </w:p>
        </w:tc>
      </w:tr>
      <w:tr w:rsidR="00EC557A" w:rsidRPr="00C2247C" w14:paraId="010CBD2E" w14:textId="77777777" w:rsidTr="00EB6BCF">
        <w:trPr>
          <w:cantSplit/>
        </w:trPr>
        <w:tc>
          <w:tcPr>
            <w:tcW w:w="4788" w:type="dxa"/>
          </w:tcPr>
          <w:p w14:paraId="010CBD2B" w14:textId="77777777" w:rsidR="00EC557A" w:rsidRPr="00C2247C" w:rsidRDefault="00B377C2" w:rsidP="00EB6BCF">
            <w:pPr>
              <w:spacing w:before="0" w:after="0"/>
              <w:jc w:val="left"/>
              <w:rPr>
                <w:rFonts w:cs="Arial"/>
                <w:b/>
                <w:sz w:val="24"/>
              </w:rPr>
            </w:pPr>
            <w:r w:rsidRPr="00C2247C">
              <w:rPr>
                <w:rFonts w:cs="Arial"/>
                <w:b/>
                <w:sz w:val="24"/>
              </w:rPr>
              <w:t>Date approved</w:t>
            </w:r>
          </w:p>
          <w:p w14:paraId="010CBD2C" w14:textId="77777777" w:rsidR="00EC557A" w:rsidRPr="00C2247C" w:rsidRDefault="00EC557A" w:rsidP="00EB6BCF">
            <w:pPr>
              <w:spacing w:before="0" w:after="0"/>
              <w:jc w:val="left"/>
              <w:rPr>
                <w:rFonts w:cs="Arial"/>
                <w:b/>
                <w:sz w:val="24"/>
              </w:rPr>
            </w:pPr>
          </w:p>
        </w:tc>
        <w:tc>
          <w:tcPr>
            <w:tcW w:w="4454" w:type="dxa"/>
          </w:tcPr>
          <w:p w14:paraId="010CBD2D" w14:textId="51B57516" w:rsidR="00EC557A" w:rsidRPr="00C2247C" w:rsidRDefault="007460BB" w:rsidP="00EB6BCF">
            <w:pPr>
              <w:tabs>
                <w:tab w:val="left" w:pos="4238"/>
              </w:tabs>
              <w:spacing w:before="0" w:after="0"/>
              <w:jc w:val="left"/>
              <w:rPr>
                <w:rFonts w:cs="Arial"/>
                <w:bCs/>
                <w:sz w:val="24"/>
              </w:rPr>
            </w:pPr>
            <w:r>
              <w:rPr>
                <w:rFonts w:cs="Arial"/>
                <w:bCs/>
                <w:sz w:val="24"/>
              </w:rPr>
              <w:t>9 February 2023</w:t>
            </w:r>
          </w:p>
        </w:tc>
      </w:tr>
      <w:tr w:rsidR="00EC557A" w:rsidRPr="00C2247C" w14:paraId="010CBD32" w14:textId="77777777" w:rsidTr="00EB6BCF">
        <w:trPr>
          <w:cantSplit/>
        </w:trPr>
        <w:tc>
          <w:tcPr>
            <w:tcW w:w="4788" w:type="dxa"/>
          </w:tcPr>
          <w:p w14:paraId="010CBD2F" w14:textId="77777777" w:rsidR="00EC557A" w:rsidRPr="00C2247C" w:rsidRDefault="001D380F" w:rsidP="00EB6BCF">
            <w:pPr>
              <w:spacing w:before="0" w:after="0"/>
              <w:jc w:val="left"/>
              <w:rPr>
                <w:rFonts w:cs="Arial"/>
                <w:b/>
                <w:sz w:val="24"/>
              </w:rPr>
            </w:pPr>
            <w:r w:rsidRPr="00C2247C">
              <w:rPr>
                <w:rFonts w:cs="Arial"/>
                <w:b/>
                <w:sz w:val="24"/>
              </w:rPr>
              <w:t>Ratified by</w:t>
            </w:r>
          </w:p>
          <w:p w14:paraId="010CBD30" w14:textId="77777777" w:rsidR="00EC557A" w:rsidRPr="00C2247C" w:rsidRDefault="00EC557A" w:rsidP="00EB6BCF">
            <w:pPr>
              <w:spacing w:before="0" w:after="0"/>
              <w:jc w:val="left"/>
              <w:rPr>
                <w:rFonts w:cs="Arial"/>
                <w:sz w:val="24"/>
              </w:rPr>
            </w:pPr>
          </w:p>
        </w:tc>
        <w:tc>
          <w:tcPr>
            <w:tcW w:w="4454" w:type="dxa"/>
          </w:tcPr>
          <w:p w14:paraId="010CBD31" w14:textId="6BE7ED9F" w:rsidR="00EC557A" w:rsidRPr="00C2247C" w:rsidRDefault="008337F2" w:rsidP="00EB6BCF">
            <w:pPr>
              <w:tabs>
                <w:tab w:val="left" w:pos="4238"/>
              </w:tabs>
              <w:spacing w:before="0" w:after="0"/>
              <w:jc w:val="left"/>
              <w:rPr>
                <w:rFonts w:cs="Arial"/>
                <w:bCs/>
                <w:sz w:val="24"/>
              </w:rPr>
            </w:pPr>
            <w:r w:rsidRPr="00C2247C">
              <w:rPr>
                <w:rFonts w:cs="Arial"/>
                <w:bCs/>
                <w:sz w:val="24"/>
              </w:rPr>
              <w:t xml:space="preserve">Policy </w:t>
            </w:r>
            <w:r w:rsidR="007460BB">
              <w:rPr>
                <w:rFonts w:cs="Arial"/>
                <w:bCs/>
                <w:sz w:val="24"/>
              </w:rPr>
              <w:t xml:space="preserve">and </w:t>
            </w:r>
            <w:r w:rsidRPr="00C2247C">
              <w:rPr>
                <w:rFonts w:cs="Arial"/>
                <w:bCs/>
                <w:sz w:val="24"/>
              </w:rPr>
              <w:t>Procedure</w:t>
            </w:r>
            <w:r w:rsidR="007460BB">
              <w:rPr>
                <w:rFonts w:cs="Arial"/>
                <w:bCs/>
                <w:sz w:val="24"/>
              </w:rPr>
              <w:t>s</w:t>
            </w:r>
            <w:r w:rsidRPr="00C2247C">
              <w:rPr>
                <w:rFonts w:cs="Arial"/>
                <w:bCs/>
                <w:sz w:val="24"/>
              </w:rPr>
              <w:t xml:space="preserve"> Group</w:t>
            </w:r>
          </w:p>
        </w:tc>
      </w:tr>
      <w:tr w:rsidR="00EC557A" w:rsidRPr="00C2247C" w14:paraId="010CBD36" w14:textId="77777777" w:rsidTr="00EB6BCF">
        <w:trPr>
          <w:cantSplit/>
        </w:trPr>
        <w:tc>
          <w:tcPr>
            <w:tcW w:w="4788" w:type="dxa"/>
          </w:tcPr>
          <w:p w14:paraId="010CBD33" w14:textId="77777777" w:rsidR="00EC557A" w:rsidRPr="00C2247C" w:rsidRDefault="00B377C2" w:rsidP="00EB6BCF">
            <w:pPr>
              <w:spacing w:before="0" w:after="0"/>
              <w:jc w:val="left"/>
              <w:rPr>
                <w:rFonts w:cs="Arial"/>
                <w:b/>
                <w:sz w:val="24"/>
              </w:rPr>
            </w:pPr>
            <w:r w:rsidRPr="00C2247C">
              <w:rPr>
                <w:rFonts w:cs="Arial"/>
                <w:b/>
                <w:sz w:val="24"/>
              </w:rPr>
              <w:t>Date ratified</w:t>
            </w:r>
          </w:p>
          <w:p w14:paraId="010CBD34" w14:textId="77777777" w:rsidR="00EC557A" w:rsidRPr="00C2247C" w:rsidRDefault="00EC557A" w:rsidP="00EB6BCF">
            <w:pPr>
              <w:spacing w:before="0" w:after="0"/>
              <w:jc w:val="left"/>
              <w:rPr>
                <w:rFonts w:cs="Arial"/>
                <w:b/>
                <w:sz w:val="24"/>
              </w:rPr>
            </w:pPr>
          </w:p>
        </w:tc>
        <w:tc>
          <w:tcPr>
            <w:tcW w:w="4454" w:type="dxa"/>
          </w:tcPr>
          <w:p w14:paraId="010CBD35" w14:textId="1C9ECDEA" w:rsidR="00EC557A" w:rsidRPr="007460BB" w:rsidRDefault="00235A00" w:rsidP="00EB6BCF">
            <w:pPr>
              <w:tabs>
                <w:tab w:val="left" w:pos="4238"/>
              </w:tabs>
              <w:spacing w:before="0" w:after="0"/>
              <w:jc w:val="left"/>
              <w:rPr>
                <w:rFonts w:cs="Arial"/>
                <w:bCs/>
                <w:sz w:val="24"/>
              </w:rPr>
            </w:pPr>
            <w:r w:rsidRPr="007460BB">
              <w:rPr>
                <w:rFonts w:cs="Arial"/>
                <w:bCs/>
                <w:sz w:val="24"/>
              </w:rPr>
              <w:t xml:space="preserve">21 </w:t>
            </w:r>
            <w:r w:rsidR="00A13521" w:rsidRPr="007460BB">
              <w:rPr>
                <w:rFonts w:cs="Arial"/>
                <w:bCs/>
                <w:sz w:val="24"/>
              </w:rPr>
              <w:t>March 2023</w:t>
            </w:r>
          </w:p>
        </w:tc>
      </w:tr>
      <w:tr w:rsidR="00EC557A" w:rsidRPr="00C2247C" w14:paraId="010CBD3A" w14:textId="77777777" w:rsidTr="00EB6BCF">
        <w:trPr>
          <w:cantSplit/>
        </w:trPr>
        <w:tc>
          <w:tcPr>
            <w:tcW w:w="4788" w:type="dxa"/>
          </w:tcPr>
          <w:p w14:paraId="010CBD37" w14:textId="77777777" w:rsidR="00EC557A" w:rsidRPr="00C2247C" w:rsidRDefault="00B377C2" w:rsidP="00EB6BCF">
            <w:pPr>
              <w:spacing w:before="0" w:after="0"/>
              <w:jc w:val="left"/>
              <w:rPr>
                <w:rFonts w:cs="Arial"/>
                <w:b/>
                <w:sz w:val="24"/>
              </w:rPr>
            </w:pPr>
            <w:r w:rsidRPr="00C2247C">
              <w:rPr>
                <w:rFonts w:cs="Arial"/>
                <w:b/>
                <w:sz w:val="24"/>
              </w:rPr>
              <w:t>Review date</w:t>
            </w:r>
          </w:p>
          <w:p w14:paraId="010CBD38" w14:textId="77777777" w:rsidR="00EC557A" w:rsidRPr="00C2247C" w:rsidRDefault="00EC557A" w:rsidP="00EB6BCF">
            <w:pPr>
              <w:spacing w:before="0" w:after="0"/>
              <w:jc w:val="left"/>
              <w:rPr>
                <w:rFonts w:cs="Arial"/>
                <w:b/>
                <w:sz w:val="24"/>
              </w:rPr>
            </w:pPr>
          </w:p>
        </w:tc>
        <w:tc>
          <w:tcPr>
            <w:tcW w:w="4454" w:type="dxa"/>
          </w:tcPr>
          <w:p w14:paraId="084595A9" w14:textId="105D95D4" w:rsidR="00EC557A" w:rsidRPr="007460BB" w:rsidRDefault="00235A00" w:rsidP="006006D7">
            <w:pPr>
              <w:tabs>
                <w:tab w:val="left" w:pos="4238"/>
              </w:tabs>
              <w:spacing w:before="0" w:after="0"/>
              <w:jc w:val="left"/>
              <w:rPr>
                <w:rFonts w:cs="Arial"/>
                <w:bCs/>
                <w:sz w:val="24"/>
              </w:rPr>
            </w:pPr>
            <w:r w:rsidRPr="007460BB">
              <w:rPr>
                <w:rFonts w:cs="Arial"/>
                <w:bCs/>
                <w:sz w:val="24"/>
              </w:rPr>
              <w:t xml:space="preserve">21 </w:t>
            </w:r>
            <w:r w:rsidR="00A13521" w:rsidRPr="007460BB">
              <w:rPr>
                <w:rFonts w:cs="Arial"/>
                <w:bCs/>
                <w:sz w:val="24"/>
              </w:rPr>
              <w:t>March 2024</w:t>
            </w:r>
          </w:p>
          <w:p w14:paraId="010CBD39" w14:textId="137EF339" w:rsidR="00C05FDC" w:rsidRPr="007460BB" w:rsidRDefault="00C05FDC" w:rsidP="006006D7">
            <w:pPr>
              <w:tabs>
                <w:tab w:val="left" w:pos="4238"/>
              </w:tabs>
              <w:spacing w:before="0" w:after="0"/>
              <w:jc w:val="left"/>
              <w:rPr>
                <w:rFonts w:cs="Arial"/>
                <w:bCs/>
                <w:sz w:val="24"/>
              </w:rPr>
            </w:pPr>
          </w:p>
        </w:tc>
      </w:tr>
      <w:tr w:rsidR="00EC557A" w:rsidRPr="00C2247C" w14:paraId="010CBD3F" w14:textId="77777777" w:rsidTr="00EB6BCF">
        <w:trPr>
          <w:cantSplit/>
        </w:trPr>
        <w:tc>
          <w:tcPr>
            <w:tcW w:w="4788" w:type="dxa"/>
          </w:tcPr>
          <w:p w14:paraId="010CBD3B" w14:textId="77777777" w:rsidR="00EC557A" w:rsidRPr="00C2247C" w:rsidRDefault="00B377C2" w:rsidP="00EB6BCF">
            <w:pPr>
              <w:spacing w:before="0" w:after="0"/>
              <w:jc w:val="left"/>
              <w:rPr>
                <w:rFonts w:cs="Arial"/>
                <w:b/>
                <w:sz w:val="24"/>
              </w:rPr>
            </w:pPr>
            <w:r w:rsidRPr="00C2247C">
              <w:rPr>
                <w:rFonts w:cs="Arial"/>
                <w:b/>
                <w:sz w:val="24"/>
              </w:rPr>
              <w:t>Frequency of review</w:t>
            </w:r>
          </w:p>
          <w:p w14:paraId="010CBD3C" w14:textId="77777777" w:rsidR="00EC557A" w:rsidRPr="00C2247C" w:rsidRDefault="00EC557A" w:rsidP="00EB6BCF">
            <w:pPr>
              <w:spacing w:before="0" w:after="0"/>
              <w:jc w:val="left"/>
              <w:rPr>
                <w:rFonts w:cs="Arial"/>
                <w:b/>
                <w:sz w:val="24"/>
              </w:rPr>
            </w:pPr>
          </w:p>
        </w:tc>
        <w:tc>
          <w:tcPr>
            <w:tcW w:w="4454" w:type="dxa"/>
          </w:tcPr>
          <w:p w14:paraId="010CBD3D" w14:textId="1AC51296" w:rsidR="00EC557A" w:rsidRPr="00C2247C" w:rsidRDefault="00EC557A" w:rsidP="00EB6BCF">
            <w:pPr>
              <w:tabs>
                <w:tab w:val="left" w:pos="4238"/>
              </w:tabs>
              <w:spacing w:before="0" w:after="0"/>
              <w:jc w:val="left"/>
              <w:rPr>
                <w:rFonts w:cs="Arial"/>
                <w:bCs/>
                <w:i/>
                <w:sz w:val="24"/>
              </w:rPr>
            </w:pPr>
            <w:r w:rsidRPr="00C2247C">
              <w:rPr>
                <w:rFonts w:cs="Arial"/>
                <w:bCs/>
                <w:i/>
                <w:sz w:val="24"/>
              </w:rPr>
              <w:t>At least every three years</w:t>
            </w:r>
            <w:r w:rsidR="00A13521">
              <w:rPr>
                <w:rFonts w:cs="Arial"/>
                <w:bCs/>
                <w:i/>
                <w:sz w:val="24"/>
              </w:rPr>
              <w:t xml:space="preserve"> </w:t>
            </w:r>
            <w:r w:rsidR="00100A69">
              <w:rPr>
                <w:rFonts w:cs="Arial"/>
                <w:bCs/>
                <w:i/>
                <w:sz w:val="24"/>
              </w:rPr>
              <w:t>but will</w:t>
            </w:r>
            <w:r w:rsidR="00A13521">
              <w:rPr>
                <w:rFonts w:cs="Arial"/>
                <w:bCs/>
                <w:i/>
                <w:sz w:val="24"/>
              </w:rPr>
              <w:t xml:space="preserve"> require early review to align with the Patient Safety Incident Response Framework Policy</w:t>
            </w:r>
          </w:p>
          <w:p w14:paraId="010CBD3E" w14:textId="77777777" w:rsidR="00EC557A" w:rsidRPr="00C2247C" w:rsidRDefault="00EC557A" w:rsidP="00EB6BCF">
            <w:pPr>
              <w:tabs>
                <w:tab w:val="left" w:pos="4238"/>
              </w:tabs>
              <w:spacing w:before="0" w:after="0"/>
              <w:jc w:val="left"/>
              <w:rPr>
                <w:rFonts w:cs="Arial"/>
                <w:bCs/>
                <w:sz w:val="24"/>
              </w:rPr>
            </w:pPr>
          </w:p>
        </w:tc>
      </w:tr>
    </w:tbl>
    <w:p w14:paraId="010CBD40" w14:textId="77777777" w:rsidR="00EB6BCF" w:rsidRPr="00C2247C" w:rsidRDefault="00EB6BCF" w:rsidP="00EB6BCF">
      <w:pPr>
        <w:spacing w:before="0" w:after="0"/>
        <w:rPr>
          <w:rFonts w:cs="Arial"/>
          <w:sz w:val="24"/>
        </w:rPr>
      </w:pPr>
    </w:p>
    <w:p w14:paraId="010CBD41" w14:textId="77777777" w:rsidR="00083404" w:rsidRPr="00C2247C" w:rsidRDefault="00083404" w:rsidP="00083404">
      <w:pPr>
        <w:spacing w:before="0" w:after="0"/>
        <w:rPr>
          <w:rFonts w:cs="Arial"/>
          <w:b/>
          <w:bCs/>
          <w:sz w:val="24"/>
        </w:rPr>
      </w:pPr>
    </w:p>
    <w:p w14:paraId="010CBD42" w14:textId="77777777" w:rsidR="00D15B29" w:rsidRPr="00C2247C" w:rsidRDefault="007D5DE9" w:rsidP="00083404">
      <w:pPr>
        <w:spacing w:before="0" w:after="0"/>
        <w:rPr>
          <w:rFonts w:cs="Arial"/>
          <w:b/>
          <w:bCs/>
          <w:sz w:val="24"/>
        </w:rPr>
      </w:pPr>
      <w:r w:rsidRPr="00C2247C">
        <w:rPr>
          <w:rFonts w:cs="Arial"/>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2"/>
        <w:gridCol w:w="5010"/>
      </w:tblGrid>
      <w:tr w:rsidR="00FB5960" w:rsidRPr="00C2247C" w14:paraId="010CBD46" w14:textId="77777777" w:rsidTr="00A35984">
        <w:tc>
          <w:tcPr>
            <w:tcW w:w="1184" w:type="dxa"/>
          </w:tcPr>
          <w:p w14:paraId="010CBD43" w14:textId="77777777" w:rsidR="00FB5960" w:rsidRPr="00C2247C" w:rsidRDefault="00FB5960" w:rsidP="00F7351D">
            <w:pPr>
              <w:spacing w:before="0" w:after="0"/>
              <w:jc w:val="center"/>
              <w:rPr>
                <w:rFonts w:cs="Arial"/>
                <w:b/>
                <w:sz w:val="24"/>
              </w:rPr>
            </w:pPr>
            <w:r w:rsidRPr="00C2247C">
              <w:rPr>
                <w:rFonts w:cs="Arial"/>
                <w:b/>
                <w:sz w:val="24"/>
              </w:rPr>
              <w:t>Version</w:t>
            </w:r>
          </w:p>
        </w:tc>
        <w:tc>
          <w:tcPr>
            <w:tcW w:w="2822" w:type="dxa"/>
          </w:tcPr>
          <w:p w14:paraId="010CBD44" w14:textId="77777777" w:rsidR="00FB5960" w:rsidRPr="00C2247C" w:rsidRDefault="00FB5960" w:rsidP="00F7351D">
            <w:pPr>
              <w:spacing w:before="0" w:after="0"/>
              <w:jc w:val="left"/>
              <w:rPr>
                <w:rFonts w:cs="Arial"/>
                <w:b/>
                <w:sz w:val="24"/>
              </w:rPr>
            </w:pPr>
            <w:r w:rsidRPr="00C2247C">
              <w:rPr>
                <w:rFonts w:cs="Arial"/>
                <w:b/>
                <w:sz w:val="24"/>
              </w:rPr>
              <w:t>Amendment</w:t>
            </w:r>
          </w:p>
        </w:tc>
        <w:tc>
          <w:tcPr>
            <w:tcW w:w="5010" w:type="dxa"/>
          </w:tcPr>
          <w:p w14:paraId="010CBD45" w14:textId="77777777" w:rsidR="00FB5960" w:rsidRPr="00C2247C" w:rsidRDefault="00FB5960" w:rsidP="00F7351D">
            <w:pPr>
              <w:spacing w:before="0" w:after="0"/>
              <w:jc w:val="left"/>
              <w:rPr>
                <w:rFonts w:cs="Arial"/>
                <w:b/>
                <w:sz w:val="24"/>
              </w:rPr>
            </w:pPr>
            <w:r w:rsidRPr="00C2247C">
              <w:rPr>
                <w:rFonts w:cs="Arial"/>
                <w:b/>
                <w:sz w:val="24"/>
              </w:rPr>
              <w:t>Reason</w:t>
            </w:r>
          </w:p>
        </w:tc>
      </w:tr>
      <w:tr w:rsidR="00FB5960" w:rsidRPr="00C2247C" w14:paraId="010CBD4A" w14:textId="77777777" w:rsidTr="00A35984">
        <w:tc>
          <w:tcPr>
            <w:tcW w:w="1184" w:type="dxa"/>
          </w:tcPr>
          <w:p w14:paraId="010CBD47" w14:textId="77777777" w:rsidR="00FB5960" w:rsidRPr="00C2247C" w:rsidRDefault="00DC3E01" w:rsidP="00F7351D">
            <w:pPr>
              <w:spacing w:before="0" w:after="0"/>
              <w:jc w:val="left"/>
              <w:rPr>
                <w:rFonts w:cs="Arial"/>
                <w:sz w:val="24"/>
              </w:rPr>
            </w:pPr>
            <w:r w:rsidRPr="00C2247C">
              <w:rPr>
                <w:rFonts w:cs="Arial"/>
                <w:sz w:val="24"/>
              </w:rPr>
              <w:t>0.2</w:t>
            </w:r>
            <w:r w:rsidR="00F7351D" w:rsidRPr="00C2247C">
              <w:rPr>
                <w:rFonts w:cs="Arial"/>
                <w:sz w:val="24"/>
              </w:rPr>
              <w:t xml:space="preserve"> </w:t>
            </w:r>
          </w:p>
        </w:tc>
        <w:tc>
          <w:tcPr>
            <w:tcW w:w="2822" w:type="dxa"/>
          </w:tcPr>
          <w:p w14:paraId="010CBD48" w14:textId="77777777" w:rsidR="00FB5960" w:rsidRPr="00C2247C" w:rsidRDefault="00F7351D" w:rsidP="00F7351D">
            <w:pPr>
              <w:spacing w:before="0" w:after="0"/>
              <w:jc w:val="left"/>
              <w:rPr>
                <w:rFonts w:cs="Arial"/>
                <w:sz w:val="24"/>
              </w:rPr>
            </w:pPr>
            <w:r w:rsidRPr="00C2247C">
              <w:rPr>
                <w:rFonts w:cs="Arial"/>
                <w:sz w:val="24"/>
              </w:rPr>
              <w:t>New document</w:t>
            </w:r>
          </w:p>
        </w:tc>
        <w:tc>
          <w:tcPr>
            <w:tcW w:w="5010" w:type="dxa"/>
          </w:tcPr>
          <w:p w14:paraId="010CBD49" w14:textId="77777777" w:rsidR="00FB5960" w:rsidRPr="00C2247C" w:rsidRDefault="00F7351D" w:rsidP="00F7351D">
            <w:pPr>
              <w:spacing w:before="0" w:after="0"/>
              <w:jc w:val="left"/>
              <w:rPr>
                <w:rFonts w:cs="Arial"/>
                <w:sz w:val="24"/>
              </w:rPr>
            </w:pPr>
            <w:r w:rsidRPr="00C2247C">
              <w:rPr>
                <w:rFonts w:cs="Arial"/>
                <w:sz w:val="24"/>
              </w:rPr>
              <w:t xml:space="preserve">As identified in the introduction </w:t>
            </w:r>
          </w:p>
        </w:tc>
      </w:tr>
      <w:tr w:rsidR="00FB5960" w:rsidRPr="00C2247C" w14:paraId="010CBD4E" w14:textId="77777777" w:rsidTr="00A35984">
        <w:tc>
          <w:tcPr>
            <w:tcW w:w="1184" w:type="dxa"/>
          </w:tcPr>
          <w:p w14:paraId="010CBD4B" w14:textId="77777777" w:rsidR="00FB5960" w:rsidRPr="00C2247C" w:rsidRDefault="00FB5960" w:rsidP="00F7351D">
            <w:pPr>
              <w:spacing w:before="0" w:after="0"/>
              <w:jc w:val="left"/>
              <w:rPr>
                <w:rFonts w:cs="Arial"/>
                <w:sz w:val="24"/>
              </w:rPr>
            </w:pPr>
          </w:p>
        </w:tc>
        <w:tc>
          <w:tcPr>
            <w:tcW w:w="2822" w:type="dxa"/>
          </w:tcPr>
          <w:p w14:paraId="010CBD4C" w14:textId="77777777" w:rsidR="00FB5960" w:rsidRPr="00C2247C" w:rsidRDefault="006006D7" w:rsidP="006006D7">
            <w:pPr>
              <w:spacing w:before="0" w:after="0"/>
              <w:jc w:val="left"/>
              <w:rPr>
                <w:rFonts w:cs="Arial"/>
                <w:sz w:val="24"/>
              </w:rPr>
            </w:pPr>
            <w:r w:rsidRPr="00C2247C">
              <w:rPr>
                <w:rFonts w:cs="Arial"/>
                <w:sz w:val="24"/>
              </w:rPr>
              <w:t>Review deadline extended 30/4/2018 to 30/6/2018</w:t>
            </w:r>
          </w:p>
        </w:tc>
        <w:tc>
          <w:tcPr>
            <w:tcW w:w="5010" w:type="dxa"/>
          </w:tcPr>
          <w:p w14:paraId="010CBD4D" w14:textId="77777777" w:rsidR="00FB5960" w:rsidRPr="00C2247C" w:rsidRDefault="006006D7" w:rsidP="00F7351D">
            <w:pPr>
              <w:spacing w:before="0" w:after="0"/>
              <w:jc w:val="left"/>
              <w:rPr>
                <w:rFonts w:cs="Arial"/>
                <w:sz w:val="24"/>
              </w:rPr>
            </w:pPr>
            <w:r w:rsidRPr="00C2247C">
              <w:rPr>
                <w:rFonts w:cs="Arial"/>
                <w:sz w:val="24"/>
              </w:rPr>
              <w:t>Agreed Policy and Procedure Group meeting 9/4/18</w:t>
            </w:r>
          </w:p>
        </w:tc>
      </w:tr>
      <w:tr w:rsidR="0044428F" w:rsidRPr="00C2247C" w14:paraId="010CBD52" w14:textId="77777777" w:rsidTr="00A35984">
        <w:tc>
          <w:tcPr>
            <w:tcW w:w="1184" w:type="dxa"/>
          </w:tcPr>
          <w:p w14:paraId="010CBD4F" w14:textId="77777777" w:rsidR="0044428F" w:rsidRPr="00C2247C" w:rsidRDefault="0044428F" w:rsidP="00F7351D">
            <w:pPr>
              <w:spacing w:before="0" w:after="0"/>
              <w:jc w:val="left"/>
              <w:rPr>
                <w:rFonts w:cs="Arial"/>
                <w:sz w:val="24"/>
              </w:rPr>
            </w:pPr>
          </w:p>
        </w:tc>
        <w:tc>
          <w:tcPr>
            <w:tcW w:w="2822" w:type="dxa"/>
          </w:tcPr>
          <w:p w14:paraId="010CBD50" w14:textId="77777777" w:rsidR="0044428F" w:rsidRPr="00C2247C" w:rsidRDefault="0044428F" w:rsidP="006006D7">
            <w:pPr>
              <w:spacing w:before="0" w:after="0"/>
              <w:jc w:val="left"/>
              <w:rPr>
                <w:rFonts w:cs="Arial"/>
                <w:sz w:val="24"/>
              </w:rPr>
            </w:pPr>
            <w:r w:rsidRPr="00C2247C">
              <w:rPr>
                <w:rFonts w:cs="Arial"/>
                <w:sz w:val="24"/>
              </w:rPr>
              <w:t xml:space="preserve">Review date extended from </w:t>
            </w:r>
            <w:r w:rsidRPr="00C2247C">
              <w:rPr>
                <w:rFonts w:cs="Arial"/>
                <w:bCs/>
                <w:sz w:val="24"/>
              </w:rPr>
              <w:t>30 June 2018 to 31 October 2018</w:t>
            </w:r>
          </w:p>
        </w:tc>
        <w:tc>
          <w:tcPr>
            <w:tcW w:w="5010" w:type="dxa"/>
          </w:tcPr>
          <w:p w14:paraId="010CBD51" w14:textId="77777777" w:rsidR="0044428F" w:rsidRPr="00C2247C" w:rsidRDefault="0044428F" w:rsidP="00F7351D">
            <w:pPr>
              <w:spacing w:before="0" w:after="0"/>
              <w:jc w:val="left"/>
              <w:rPr>
                <w:rFonts w:cs="Arial"/>
                <w:sz w:val="24"/>
              </w:rPr>
            </w:pPr>
            <w:r w:rsidRPr="00C2247C">
              <w:rPr>
                <w:rFonts w:cs="Arial"/>
                <w:sz w:val="24"/>
              </w:rPr>
              <w:t>Agreed at PPG 29 August 2018</w:t>
            </w:r>
          </w:p>
        </w:tc>
      </w:tr>
      <w:tr w:rsidR="003A4244" w:rsidRPr="00C2247C" w14:paraId="010CBD56" w14:textId="77777777" w:rsidTr="00A35984">
        <w:tc>
          <w:tcPr>
            <w:tcW w:w="1184" w:type="dxa"/>
          </w:tcPr>
          <w:p w14:paraId="010CBD53" w14:textId="77777777" w:rsidR="003A4244" w:rsidRPr="00C2247C" w:rsidRDefault="003A4244" w:rsidP="00F7351D">
            <w:pPr>
              <w:spacing w:before="0" w:after="0"/>
              <w:jc w:val="left"/>
              <w:rPr>
                <w:rFonts w:cs="Arial"/>
                <w:sz w:val="24"/>
              </w:rPr>
            </w:pPr>
          </w:p>
        </w:tc>
        <w:tc>
          <w:tcPr>
            <w:tcW w:w="2822" w:type="dxa"/>
          </w:tcPr>
          <w:p w14:paraId="010CBD54" w14:textId="77777777" w:rsidR="003A4244" w:rsidRPr="00C2247C" w:rsidRDefault="003A4244" w:rsidP="003A4244">
            <w:pPr>
              <w:spacing w:before="0" w:after="0"/>
              <w:jc w:val="left"/>
              <w:rPr>
                <w:rFonts w:cs="Arial"/>
                <w:sz w:val="24"/>
              </w:rPr>
            </w:pPr>
            <w:r w:rsidRPr="00C2247C">
              <w:rPr>
                <w:rFonts w:cs="Arial"/>
                <w:sz w:val="24"/>
              </w:rPr>
              <w:t xml:space="preserve">Review date extended from </w:t>
            </w:r>
            <w:r w:rsidRPr="00C2247C">
              <w:rPr>
                <w:rFonts w:cs="Arial"/>
                <w:bCs/>
                <w:sz w:val="24"/>
              </w:rPr>
              <w:t>31 October 2018 to 31 January 2019</w:t>
            </w:r>
          </w:p>
        </w:tc>
        <w:tc>
          <w:tcPr>
            <w:tcW w:w="5010" w:type="dxa"/>
          </w:tcPr>
          <w:p w14:paraId="010CBD55" w14:textId="77777777" w:rsidR="003A4244" w:rsidRPr="00C2247C" w:rsidRDefault="003A4244" w:rsidP="00F7351D">
            <w:pPr>
              <w:spacing w:before="0" w:after="0"/>
              <w:jc w:val="left"/>
              <w:rPr>
                <w:rFonts w:cs="Arial"/>
                <w:sz w:val="24"/>
              </w:rPr>
            </w:pPr>
            <w:r w:rsidRPr="00C2247C">
              <w:rPr>
                <w:rFonts w:cs="Arial"/>
                <w:sz w:val="24"/>
              </w:rPr>
              <w:t>Agreed at PPG 26 November 2018</w:t>
            </w:r>
          </w:p>
        </w:tc>
      </w:tr>
      <w:tr w:rsidR="00536782" w:rsidRPr="00C2247C" w14:paraId="010CBD5A" w14:textId="77777777" w:rsidTr="00A35984">
        <w:tc>
          <w:tcPr>
            <w:tcW w:w="1184" w:type="dxa"/>
          </w:tcPr>
          <w:p w14:paraId="010CBD57" w14:textId="77777777" w:rsidR="00536782" w:rsidRPr="00C2247C" w:rsidRDefault="00536782" w:rsidP="00F7351D">
            <w:pPr>
              <w:spacing w:before="0" w:after="0"/>
              <w:jc w:val="left"/>
              <w:rPr>
                <w:rFonts w:cs="Arial"/>
                <w:sz w:val="24"/>
              </w:rPr>
            </w:pPr>
          </w:p>
        </w:tc>
        <w:tc>
          <w:tcPr>
            <w:tcW w:w="2822" w:type="dxa"/>
          </w:tcPr>
          <w:p w14:paraId="010CBD58" w14:textId="77777777" w:rsidR="00536782" w:rsidRPr="00C2247C" w:rsidRDefault="00536782" w:rsidP="003A4244">
            <w:pPr>
              <w:spacing w:before="0" w:after="0"/>
              <w:jc w:val="left"/>
              <w:rPr>
                <w:rFonts w:cs="Arial"/>
                <w:sz w:val="24"/>
              </w:rPr>
            </w:pPr>
            <w:r w:rsidRPr="00C2247C">
              <w:rPr>
                <w:rFonts w:cs="Arial"/>
                <w:sz w:val="24"/>
              </w:rPr>
              <w:t xml:space="preserve">Review date extended from 31 January 2019 to 30 April 2019 </w:t>
            </w:r>
          </w:p>
        </w:tc>
        <w:tc>
          <w:tcPr>
            <w:tcW w:w="5010" w:type="dxa"/>
          </w:tcPr>
          <w:p w14:paraId="010CBD59" w14:textId="77777777" w:rsidR="00536782" w:rsidRPr="00C2247C" w:rsidRDefault="00536782" w:rsidP="00536782">
            <w:pPr>
              <w:spacing w:before="0" w:after="0"/>
              <w:jc w:val="left"/>
              <w:rPr>
                <w:rFonts w:cs="Arial"/>
                <w:sz w:val="24"/>
              </w:rPr>
            </w:pPr>
            <w:r w:rsidRPr="00C2247C">
              <w:rPr>
                <w:rFonts w:cs="Arial"/>
                <w:sz w:val="24"/>
              </w:rPr>
              <w:t>Agreed at PPG 27 February 2019</w:t>
            </w:r>
          </w:p>
        </w:tc>
      </w:tr>
      <w:tr w:rsidR="003D619A" w:rsidRPr="00C2247C" w14:paraId="010CBD5E" w14:textId="77777777" w:rsidTr="00A35984">
        <w:tc>
          <w:tcPr>
            <w:tcW w:w="1184" w:type="dxa"/>
          </w:tcPr>
          <w:p w14:paraId="010CBD5B" w14:textId="77777777" w:rsidR="003D619A" w:rsidRPr="00C2247C" w:rsidRDefault="000803F9" w:rsidP="00F7351D">
            <w:pPr>
              <w:spacing w:before="0" w:after="0"/>
              <w:jc w:val="left"/>
              <w:rPr>
                <w:rFonts w:cs="Arial"/>
                <w:sz w:val="24"/>
              </w:rPr>
            </w:pPr>
            <w:r w:rsidRPr="00C2247C">
              <w:rPr>
                <w:rFonts w:cs="Arial"/>
                <w:sz w:val="24"/>
              </w:rPr>
              <w:t>2.0</w:t>
            </w:r>
          </w:p>
        </w:tc>
        <w:tc>
          <w:tcPr>
            <w:tcW w:w="2822" w:type="dxa"/>
          </w:tcPr>
          <w:p w14:paraId="010CBD5C" w14:textId="77777777" w:rsidR="003D619A" w:rsidRPr="00C2247C" w:rsidRDefault="003D619A" w:rsidP="003A4244">
            <w:pPr>
              <w:spacing w:before="0" w:after="0"/>
              <w:jc w:val="left"/>
              <w:rPr>
                <w:rFonts w:cs="Arial"/>
                <w:sz w:val="24"/>
              </w:rPr>
            </w:pPr>
            <w:r w:rsidRPr="00C2247C">
              <w:rPr>
                <w:rFonts w:cs="Arial"/>
                <w:sz w:val="24"/>
              </w:rPr>
              <w:t>Review date reached and report amended to reflect national guidance</w:t>
            </w:r>
          </w:p>
        </w:tc>
        <w:tc>
          <w:tcPr>
            <w:tcW w:w="5010" w:type="dxa"/>
          </w:tcPr>
          <w:p w14:paraId="010CBD5D" w14:textId="77777777" w:rsidR="003D619A" w:rsidRPr="00C2247C" w:rsidRDefault="003D619A" w:rsidP="00536782">
            <w:pPr>
              <w:spacing w:before="0" w:after="0"/>
              <w:jc w:val="left"/>
              <w:rPr>
                <w:rFonts w:cs="Arial"/>
                <w:sz w:val="24"/>
              </w:rPr>
            </w:pPr>
            <w:r w:rsidRPr="00C2247C">
              <w:rPr>
                <w:rFonts w:cs="Arial"/>
                <w:sz w:val="24"/>
              </w:rPr>
              <w:t xml:space="preserve">Agreed at </w:t>
            </w:r>
            <w:r w:rsidR="002F038E" w:rsidRPr="00C2247C">
              <w:rPr>
                <w:rFonts w:cs="Arial"/>
                <w:sz w:val="24"/>
              </w:rPr>
              <w:t>Learning from Mortality and Incidents Group 4 April 2019</w:t>
            </w:r>
          </w:p>
        </w:tc>
      </w:tr>
      <w:tr w:rsidR="005C5A16" w:rsidRPr="00C2247C" w14:paraId="5F3E62A0" w14:textId="77777777" w:rsidTr="00A35984">
        <w:tc>
          <w:tcPr>
            <w:tcW w:w="1184" w:type="dxa"/>
          </w:tcPr>
          <w:p w14:paraId="7B1E1415" w14:textId="6BDD5858" w:rsidR="005C5A16" w:rsidRPr="00C2247C" w:rsidRDefault="005C5A16" w:rsidP="00F7351D">
            <w:pPr>
              <w:spacing w:before="0" w:after="0"/>
              <w:jc w:val="left"/>
              <w:rPr>
                <w:rFonts w:cs="Arial"/>
                <w:sz w:val="24"/>
              </w:rPr>
            </w:pPr>
            <w:bookmarkStart w:id="0" w:name="_Hlk99444201"/>
            <w:r w:rsidRPr="00C2247C">
              <w:rPr>
                <w:rFonts w:cs="Arial"/>
                <w:sz w:val="24"/>
              </w:rPr>
              <w:t>2.0</w:t>
            </w:r>
          </w:p>
        </w:tc>
        <w:tc>
          <w:tcPr>
            <w:tcW w:w="2822" w:type="dxa"/>
          </w:tcPr>
          <w:p w14:paraId="4BF5681C" w14:textId="52F05564" w:rsidR="005C5A16" w:rsidRPr="00C2247C" w:rsidRDefault="005C5A16" w:rsidP="003A4244">
            <w:pPr>
              <w:spacing w:before="0" w:after="0"/>
              <w:jc w:val="left"/>
              <w:rPr>
                <w:rFonts w:cs="Arial"/>
                <w:sz w:val="24"/>
              </w:rPr>
            </w:pPr>
            <w:r w:rsidRPr="00C2247C">
              <w:rPr>
                <w:rFonts w:cs="Arial"/>
                <w:sz w:val="24"/>
              </w:rPr>
              <w:t>Review date extended from 11/04/2022 to 11/07/2022.</w:t>
            </w:r>
          </w:p>
        </w:tc>
        <w:tc>
          <w:tcPr>
            <w:tcW w:w="5010" w:type="dxa"/>
          </w:tcPr>
          <w:p w14:paraId="20A7C507" w14:textId="46527907" w:rsidR="005C5A16" w:rsidRPr="00C2247C" w:rsidRDefault="005C5A16" w:rsidP="00536782">
            <w:pPr>
              <w:spacing w:before="0" w:after="0"/>
              <w:jc w:val="left"/>
              <w:rPr>
                <w:rFonts w:cs="Arial"/>
                <w:sz w:val="24"/>
              </w:rPr>
            </w:pPr>
            <w:r w:rsidRPr="00C2247C">
              <w:rPr>
                <w:rFonts w:cs="Arial"/>
                <w:sz w:val="24"/>
              </w:rPr>
              <w:t>Extension agreed by the Corporate Governance Team on 29 March 2022.</w:t>
            </w:r>
          </w:p>
        </w:tc>
      </w:tr>
      <w:tr w:rsidR="00A13521" w:rsidRPr="00E05A39" w14:paraId="5792D2B2" w14:textId="77777777" w:rsidTr="009B26E4">
        <w:tc>
          <w:tcPr>
            <w:tcW w:w="1184" w:type="dxa"/>
          </w:tcPr>
          <w:p w14:paraId="12D511FC" w14:textId="77777777" w:rsidR="00A13521" w:rsidRPr="00A13521" w:rsidRDefault="00A13521" w:rsidP="00A13521">
            <w:pPr>
              <w:spacing w:before="0" w:after="0"/>
              <w:jc w:val="left"/>
              <w:rPr>
                <w:rFonts w:cs="Arial"/>
                <w:sz w:val="24"/>
              </w:rPr>
            </w:pPr>
            <w:r w:rsidRPr="00A13521">
              <w:rPr>
                <w:rFonts w:cs="Arial"/>
                <w:sz w:val="24"/>
              </w:rPr>
              <w:t>2.0</w:t>
            </w:r>
          </w:p>
        </w:tc>
        <w:tc>
          <w:tcPr>
            <w:tcW w:w="2822" w:type="dxa"/>
          </w:tcPr>
          <w:p w14:paraId="131FA8BF" w14:textId="3070B226" w:rsidR="00A13521" w:rsidRPr="00A13521" w:rsidRDefault="00A13521" w:rsidP="00A13521">
            <w:pPr>
              <w:spacing w:before="0" w:after="0"/>
              <w:jc w:val="left"/>
              <w:rPr>
                <w:rFonts w:cs="Arial"/>
                <w:sz w:val="24"/>
              </w:rPr>
            </w:pPr>
            <w:r>
              <w:rPr>
                <w:rFonts w:cs="Arial"/>
                <w:sz w:val="23"/>
                <w:szCs w:val="23"/>
                <w:lang w:eastAsia="en-US"/>
              </w:rPr>
              <w:t>Review date extended</w:t>
            </w:r>
          </w:p>
        </w:tc>
        <w:tc>
          <w:tcPr>
            <w:tcW w:w="5010" w:type="dxa"/>
          </w:tcPr>
          <w:p w14:paraId="409963B4" w14:textId="6E6F35DE" w:rsidR="00A13521" w:rsidRPr="00A13521" w:rsidRDefault="00A13521" w:rsidP="00A13521">
            <w:pPr>
              <w:spacing w:before="0" w:after="0"/>
              <w:jc w:val="left"/>
              <w:rPr>
                <w:rFonts w:cs="Arial"/>
                <w:sz w:val="24"/>
              </w:rPr>
            </w:pPr>
            <w:r w:rsidRPr="0075764D">
              <w:rPr>
                <w:rFonts w:cs="Arial"/>
                <w:sz w:val="23"/>
                <w:szCs w:val="23"/>
                <w:lang w:eastAsia="en-US"/>
              </w:rPr>
              <w:t xml:space="preserve">Policy review date </w:t>
            </w:r>
            <w:r>
              <w:rPr>
                <w:rFonts w:cs="Arial"/>
                <w:sz w:val="23"/>
                <w:szCs w:val="23"/>
                <w:lang w:eastAsia="en-US"/>
              </w:rPr>
              <w:t>extended 31 March 2023</w:t>
            </w:r>
          </w:p>
        </w:tc>
      </w:tr>
      <w:tr w:rsidR="00A13521" w:rsidRPr="00E05A39" w14:paraId="08683691" w14:textId="77777777" w:rsidTr="009B26E4">
        <w:tc>
          <w:tcPr>
            <w:tcW w:w="1184" w:type="dxa"/>
          </w:tcPr>
          <w:p w14:paraId="36A9DC7E" w14:textId="77777777" w:rsidR="00A13521" w:rsidRPr="00A13521" w:rsidRDefault="00A13521" w:rsidP="00A13521">
            <w:pPr>
              <w:spacing w:before="0" w:after="0"/>
              <w:jc w:val="left"/>
              <w:rPr>
                <w:rFonts w:cs="Arial"/>
                <w:sz w:val="24"/>
              </w:rPr>
            </w:pPr>
            <w:r w:rsidRPr="00A13521">
              <w:rPr>
                <w:rFonts w:cs="Arial"/>
                <w:sz w:val="24"/>
              </w:rPr>
              <w:t xml:space="preserve">3.0 </w:t>
            </w:r>
          </w:p>
        </w:tc>
        <w:tc>
          <w:tcPr>
            <w:tcW w:w="2822" w:type="dxa"/>
          </w:tcPr>
          <w:p w14:paraId="2D7CA1D8" w14:textId="77777777" w:rsidR="00A13521" w:rsidRPr="00A13521" w:rsidRDefault="00A13521" w:rsidP="00A13521">
            <w:pPr>
              <w:spacing w:before="0" w:after="0"/>
              <w:jc w:val="left"/>
              <w:rPr>
                <w:rFonts w:cs="Arial"/>
                <w:sz w:val="24"/>
              </w:rPr>
            </w:pPr>
            <w:r w:rsidRPr="00A13521">
              <w:rPr>
                <w:rFonts w:cs="Arial"/>
                <w:sz w:val="24"/>
              </w:rPr>
              <w:t xml:space="preserve">Review of procedure </w:t>
            </w:r>
          </w:p>
        </w:tc>
        <w:tc>
          <w:tcPr>
            <w:tcW w:w="5010" w:type="dxa"/>
          </w:tcPr>
          <w:p w14:paraId="2159ADAB" w14:textId="77777777" w:rsidR="00A13521" w:rsidRPr="00A13521" w:rsidRDefault="00A13521" w:rsidP="00A13521">
            <w:pPr>
              <w:spacing w:before="0" w:after="0"/>
              <w:jc w:val="left"/>
              <w:rPr>
                <w:rFonts w:cs="Arial"/>
                <w:sz w:val="24"/>
              </w:rPr>
            </w:pPr>
            <w:r w:rsidRPr="00A13521">
              <w:rPr>
                <w:rFonts w:cs="Arial"/>
                <w:sz w:val="24"/>
              </w:rPr>
              <w:t>Update to reflect changes in National Guidance. Simplified reporting process</w:t>
            </w:r>
          </w:p>
        </w:tc>
      </w:tr>
      <w:bookmarkEnd w:id="0"/>
    </w:tbl>
    <w:p w14:paraId="010CBD5F" w14:textId="77777777" w:rsidR="007D5DE9" w:rsidRPr="00C2247C" w:rsidRDefault="007D5DE9" w:rsidP="00083404">
      <w:pPr>
        <w:spacing w:before="0" w:after="0"/>
        <w:rPr>
          <w:rFonts w:cs="Arial"/>
          <w:b/>
          <w:bCs/>
          <w:sz w:val="24"/>
        </w:rPr>
      </w:pPr>
    </w:p>
    <w:p w14:paraId="010CBD60" w14:textId="77777777" w:rsidR="00D15B29" w:rsidRPr="00C2247C" w:rsidRDefault="00D15B29" w:rsidP="00083404">
      <w:pPr>
        <w:spacing w:before="0" w:after="0"/>
        <w:rPr>
          <w:rFonts w:cs="Arial"/>
          <w:b/>
          <w:bCs/>
          <w:sz w:val="24"/>
        </w:rPr>
      </w:pPr>
    </w:p>
    <w:p w14:paraId="010CBD61" w14:textId="77777777" w:rsidR="00D15B29" w:rsidRPr="00C2247C" w:rsidRDefault="00D15B29" w:rsidP="00083404">
      <w:pPr>
        <w:spacing w:before="0" w:after="0"/>
        <w:rPr>
          <w:rFonts w:cs="Arial"/>
          <w:b/>
          <w:bCs/>
          <w:sz w:val="24"/>
        </w:rPr>
      </w:pPr>
    </w:p>
    <w:p w14:paraId="010CBD62" w14:textId="77777777" w:rsidR="00D15B29" w:rsidRPr="00C2247C" w:rsidRDefault="00D15B29" w:rsidP="00083404">
      <w:pPr>
        <w:spacing w:before="0" w:after="0"/>
        <w:rPr>
          <w:rFonts w:cs="Arial"/>
          <w:b/>
          <w:bCs/>
          <w:sz w:val="24"/>
        </w:rPr>
      </w:pPr>
    </w:p>
    <w:p w14:paraId="010CBD63" w14:textId="77777777" w:rsidR="00D15B29" w:rsidRPr="00C2247C" w:rsidRDefault="00D15B29" w:rsidP="00083404">
      <w:pPr>
        <w:spacing w:before="0" w:after="0"/>
        <w:rPr>
          <w:rFonts w:cs="Arial"/>
          <w:b/>
          <w:bCs/>
          <w:sz w:val="24"/>
        </w:rPr>
      </w:pPr>
    </w:p>
    <w:p w14:paraId="010CBD64" w14:textId="77777777" w:rsidR="00D15B29" w:rsidRPr="00C2247C" w:rsidRDefault="00D15B29" w:rsidP="00083404">
      <w:pPr>
        <w:spacing w:before="0" w:after="0"/>
        <w:rPr>
          <w:rFonts w:cs="Arial"/>
          <w:b/>
          <w:bCs/>
          <w:sz w:val="24"/>
        </w:rPr>
      </w:pPr>
    </w:p>
    <w:p w14:paraId="010CBD65" w14:textId="77777777" w:rsidR="00D15B29" w:rsidRPr="00C2247C" w:rsidRDefault="00D15B29" w:rsidP="00083404">
      <w:pPr>
        <w:spacing w:before="0" w:after="0"/>
        <w:rPr>
          <w:rFonts w:cs="Arial"/>
          <w:b/>
          <w:bCs/>
          <w:sz w:val="24"/>
        </w:rPr>
      </w:pPr>
    </w:p>
    <w:p w14:paraId="010CBD66" w14:textId="77777777" w:rsidR="00D631F6" w:rsidRPr="00C2247C" w:rsidRDefault="00D631F6">
      <w:pPr>
        <w:spacing w:before="0" w:line="276" w:lineRule="auto"/>
        <w:jc w:val="left"/>
        <w:rPr>
          <w:rFonts w:cs="Arial"/>
          <w:b/>
          <w:bCs/>
          <w:sz w:val="24"/>
        </w:rPr>
      </w:pPr>
      <w:r w:rsidRPr="00C2247C">
        <w:rPr>
          <w:rFonts w:cs="Arial"/>
          <w:b/>
          <w:bCs/>
          <w:sz w:val="24"/>
        </w:rPr>
        <w:br w:type="page"/>
      </w:r>
    </w:p>
    <w:p w14:paraId="010CBD67" w14:textId="77777777" w:rsidR="004210B4" w:rsidRPr="00C2247C" w:rsidRDefault="004210B4">
      <w:pPr>
        <w:spacing w:before="0" w:line="276" w:lineRule="auto"/>
        <w:jc w:val="left"/>
        <w:rPr>
          <w:rFonts w:cs="Arial"/>
          <w:b/>
          <w:sz w:val="24"/>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0"/>
        <w:gridCol w:w="845"/>
        <w:gridCol w:w="5895"/>
        <w:gridCol w:w="1176"/>
      </w:tblGrid>
      <w:tr w:rsidR="00C2247C" w:rsidRPr="004210B4" w14:paraId="1B3B1ED8" w14:textId="77777777" w:rsidTr="00244649">
        <w:tc>
          <w:tcPr>
            <w:tcW w:w="9016" w:type="dxa"/>
            <w:gridSpan w:val="4"/>
          </w:tcPr>
          <w:p w14:paraId="70DAF6CE" w14:textId="77777777" w:rsidR="00C2247C" w:rsidRPr="004210B4" w:rsidRDefault="00C2247C" w:rsidP="00244649">
            <w:pPr>
              <w:spacing w:before="0"/>
              <w:rPr>
                <w:rFonts w:cs="Arial"/>
                <w:b/>
                <w:sz w:val="24"/>
              </w:rPr>
            </w:pPr>
            <w:r w:rsidRPr="004210B4">
              <w:rPr>
                <w:rFonts w:cs="Arial"/>
                <w:b/>
                <w:sz w:val="24"/>
              </w:rPr>
              <w:t>CONTENTS</w:t>
            </w:r>
          </w:p>
        </w:tc>
      </w:tr>
      <w:tr w:rsidR="00C2247C" w:rsidRPr="004210B4" w14:paraId="584D2028" w14:textId="77777777" w:rsidTr="00244649">
        <w:tc>
          <w:tcPr>
            <w:tcW w:w="1100" w:type="dxa"/>
          </w:tcPr>
          <w:p w14:paraId="461B0E6C" w14:textId="77777777" w:rsidR="00C2247C" w:rsidRPr="004210B4" w:rsidRDefault="00C2247C" w:rsidP="00244649">
            <w:pPr>
              <w:spacing w:before="0"/>
              <w:rPr>
                <w:rFonts w:cs="Arial"/>
                <w:b/>
                <w:sz w:val="24"/>
              </w:rPr>
            </w:pPr>
            <w:r w:rsidRPr="004210B4">
              <w:rPr>
                <w:rFonts w:cs="Arial"/>
                <w:b/>
                <w:sz w:val="24"/>
              </w:rPr>
              <w:t>Section</w:t>
            </w:r>
          </w:p>
        </w:tc>
        <w:tc>
          <w:tcPr>
            <w:tcW w:w="6740" w:type="dxa"/>
            <w:gridSpan w:val="2"/>
          </w:tcPr>
          <w:p w14:paraId="170529CA" w14:textId="77777777" w:rsidR="00C2247C" w:rsidRPr="004210B4" w:rsidRDefault="00C2247C" w:rsidP="00244649">
            <w:pPr>
              <w:spacing w:before="0"/>
              <w:rPr>
                <w:rFonts w:cs="Arial"/>
                <w:b/>
                <w:sz w:val="24"/>
              </w:rPr>
            </w:pPr>
            <w:r w:rsidRPr="004210B4">
              <w:rPr>
                <w:rFonts w:cs="Arial"/>
                <w:b/>
                <w:sz w:val="24"/>
              </w:rPr>
              <w:t xml:space="preserve">Description </w:t>
            </w:r>
          </w:p>
        </w:tc>
        <w:tc>
          <w:tcPr>
            <w:tcW w:w="1176" w:type="dxa"/>
          </w:tcPr>
          <w:p w14:paraId="3C20FB15" w14:textId="77777777" w:rsidR="00C2247C" w:rsidRPr="004210B4" w:rsidRDefault="00C2247C" w:rsidP="00244649">
            <w:pPr>
              <w:spacing w:before="0"/>
              <w:rPr>
                <w:rFonts w:cs="Arial"/>
                <w:b/>
                <w:sz w:val="24"/>
              </w:rPr>
            </w:pPr>
            <w:r w:rsidRPr="004210B4">
              <w:rPr>
                <w:rFonts w:cs="Arial"/>
                <w:b/>
                <w:sz w:val="24"/>
              </w:rPr>
              <w:t>Page</w:t>
            </w:r>
          </w:p>
        </w:tc>
      </w:tr>
      <w:tr w:rsidR="00C2247C" w:rsidRPr="004210B4" w14:paraId="1E08D731" w14:textId="77777777" w:rsidTr="00244649">
        <w:tc>
          <w:tcPr>
            <w:tcW w:w="1100" w:type="dxa"/>
          </w:tcPr>
          <w:p w14:paraId="21D77BF8" w14:textId="77777777" w:rsidR="00C2247C" w:rsidRPr="004210B4" w:rsidRDefault="00C2247C" w:rsidP="00244649">
            <w:pPr>
              <w:spacing w:before="0"/>
              <w:jc w:val="center"/>
              <w:rPr>
                <w:rFonts w:cs="Arial"/>
                <w:sz w:val="24"/>
              </w:rPr>
            </w:pPr>
            <w:r w:rsidRPr="004210B4">
              <w:rPr>
                <w:rFonts w:cs="Arial"/>
                <w:sz w:val="24"/>
              </w:rPr>
              <w:t>1</w:t>
            </w:r>
          </w:p>
        </w:tc>
        <w:tc>
          <w:tcPr>
            <w:tcW w:w="6740" w:type="dxa"/>
            <w:gridSpan w:val="2"/>
          </w:tcPr>
          <w:p w14:paraId="62BB9FF9" w14:textId="77777777" w:rsidR="00C2247C" w:rsidRPr="004210B4" w:rsidRDefault="00C2247C" w:rsidP="00244649">
            <w:pPr>
              <w:spacing w:before="0"/>
              <w:jc w:val="left"/>
              <w:rPr>
                <w:rFonts w:cs="Arial"/>
                <w:sz w:val="24"/>
              </w:rPr>
            </w:pPr>
            <w:r w:rsidRPr="004210B4">
              <w:rPr>
                <w:rFonts w:cs="Arial"/>
                <w:bCs/>
                <w:iCs/>
                <w:sz w:val="24"/>
              </w:rPr>
              <w:t xml:space="preserve">The content of the procedural document </w:t>
            </w:r>
          </w:p>
        </w:tc>
        <w:tc>
          <w:tcPr>
            <w:tcW w:w="1176" w:type="dxa"/>
          </w:tcPr>
          <w:p w14:paraId="52F50D37" w14:textId="1D145AB1" w:rsidR="00C2247C" w:rsidRPr="004210B4" w:rsidRDefault="00C2247C" w:rsidP="00244649">
            <w:pPr>
              <w:spacing w:before="0"/>
              <w:rPr>
                <w:rFonts w:cs="Arial"/>
                <w:sz w:val="24"/>
              </w:rPr>
            </w:pPr>
          </w:p>
        </w:tc>
      </w:tr>
      <w:tr w:rsidR="00C2247C" w:rsidRPr="004210B4" w14:paraId="6F929656" w14:textId="77777777" w:rsidTr="00244649">
        <w:tc>
          <w:tcPr>
            <w:tcW w:w="1100" w:type="dxa"/>
          </w:tcPr>
          <w:p w14:paraId="54342EF8" w14:textId="77777777" w:rsidR="00C2247C" w:rsidRPr="004210B4" w:rsidRDefault="00C2247C" w:rsidP="00244649">
            <w:pPr>
              <w:spacing w:before="0"/>
              <w:jc w:val="center"/>
              <w:rPr>
                <w:rFonts w:cs="Arial"/>
                <w:sz w:val="24"/>
              </w:rPr>
            </w:pPr>
          </w:p>
        </w:tc>
        <w:tc>
          <w:tcPr>
            <w:tcW w:w="845" w:type="dxa"/>
          </w:tcPr>
          <w:p w14:paraId="70FAB476" w14:textId="77777777" w:rsidR="00C2247C" w:rsidRPr="004210B4" w:rsidRDefault="00C2247C" w:rsidP="00244649">
            <w:pPr>
              <w:spacing w:before="0"/>
              <w:jc w:val="left"/>
              <w:rPr>
                <w:rFonts w:cs="Arial"/>
                <w:bCs/>
                <w:iCs/>
                <w:sz w:val="24"/>
              </w:rPr>
            </w:pPr>
            <w:r w:rsidRPr="004210B4">
              <w:rPr>
                <w:rFonts w:cs="Arial"/>
                <w:bCs/>
                <w:iCs/>
                <w:sz w:val="24"/>
              </w:rPr>
              <w:t>1.1</w:t>
            </w:r>
          </w:p>
        </w:tc>
        <w:tc>
          <w:tcPr>
            <w:tcW w:w="5895" w:type="dxa"/>
          </w:tcPr>
          <w:p w14:paraId="5CEA00EF" w14:textId="77777777" w:rsidR="00C2247C" w:rsidRPr="004210B4" w:rsidRDefault="00C2247C" w:rsidP="00244649">
            <w:pPr>
              <w:spacing w:before="0"/>
              <w:jc w:val="left"/>
              <w:rPr>
                <w:rFonts w:cs="Arial"/>
                <w:bCs/>
                <w:iCs/>
                <w:sz w:val="24"/>
              </w:rPr>
            </w:pPr>
            <w:r w:rsidRPr="004210B4">
              <w:rPr>
                <w:rFonts w:cs="Arial"/>
                <w:bCs/>
                <w:iCs/>
                <w:sz w:val="24"/>
              </w:rPr>
              <w:t xml:space="preserve">Introduction </w:t>
            </w:r>
          </w:p>
        </w:tc>
        <w:tc>
          <w:tcPr>
            <w:tcW w:w="1176" w:type="dxa"/>
          </w:tcPr>
          <w:p w14:paraId="1832CA96" w14:textId="4D63D66B" w:rsidR="00C2247C" w:rsidRPr="004210B4" w:rsidRDefault="00152FE7" w:rsidP="00244649">
            <w:pPr>
              <w:spacing w:before="0"/>
              <w:rPr>
                <w:rFonts w:cs="Arial"/>
                <w:sz w:val="24"/>
              </w:rPr>
            </w:pPr>
            <w:r>
              <w:rPr>
                <w:rFonts w:cs="Arial"/>
                <w:sz w:val="24"/>
              </w:rPr>
              <w:t>5</w:t>
            </w:r>
          </w:p>
        </w:tc>
      </w:tr>
      <w:tr w:rsidR="00C2247C" w:rsidRPr="004210B4" w14:paraId="2995E4DA" w14:textId="77777777" w:rsidTr="00244649">
        <w:tc>
          <w:tcPr>
            <w:tcW w:w="1100" w:type="dxa"/>
          </w:tcPr>
          <w:p w14:paraId="659E43C5" w14:textId="77777777" w:rsidR="00C2247C" w:rsidRPr="004210B4" w:rsidRDefault="00C2247C" w:rsidP="00244649">
            <w:pPr>
              <w:spacing w:before="0"/>
              <w:jc w:val="center"/>
              <w:rPr>
                <w:rFonts w:cs="Arial"/>
                <w:sz w:val="24"/>
              </w:rPr>
            </w:pPr>
          </w:p>
        </w:tc>
        <w:tc>
          <w:tcPr>
            <w:tcW w:w="845" w:type="dxa"/>
          </w:tcPr>
          <w:p w14:paraId="039AD761" w14:textId="77777777" w:rsidR="00C2247C" w:rsidRPr="004210B4" w:rsidRDefault="00C2247C" w:rsidP="00244649">
            <w:pPr>
              <w:spacing w:before="0"/>
              <w:jc w:val="left"/>
              <w:rPr>
                <w:rFonts w:cs="Arial"/>
                <w:bCs/>
                <w:iCs/>
                <w:sz w:val="24"/>
              </w:rPr>
            </w:pPr>
            <w:r w:rsidRPr="004210B4">
              <w:rPr>
                <w:rFonts w:cs="Arial"/>
                <w:bCs/>
                <w:iCs/>
                <w:sz w:val="24"/>
              </w:rPr>
              <w:t>1.2</w:t>
            </w:r>
          </w:p>
        </w:tc>
        <w:tc>
          <w:tcPr>
            <w:tcW w:w="5895" w:type="dxa"/>
          </w:tcPr>
          <w:p w14:paraId="66454C8C" w14:textId="77777777" w:rsidR="00C2247C" w:rsidRPr="004210B4" w:rsidRDefault="00C2247C" w:rsidP="00244649">
            <w:pPr>
              <w:spacing w:before="0"/>
              <w:jc w:val="left"/>
              <w:rPr>
                <w:rFonts w:cs="Arial"/>
                <w:bCs/>
                <w:iCs/>
                <w:sz w:val="24"/>
              </w:rPr>
            </w:pPr>
            <w:r>
              <w:rPr>
                <w:rFonts w:cs="Arial"/>
                <w:bCs/>
                <w:iCs/>
                <w:sz w:val="24"/>
              </w:rPr>
              <w:t>Purpose and Scope of this policy</w:t>
            </w:r>
          </w:p>
        </w:tc>
        <w:tc>
          <w:tcPr>
            <w:tcW w:w="1176" w:type="dxa"/>
          </w:tcPr>
          <w:p w14:paraId="0B968C6D" w14:textId="0A25B685" w:rsidR="00C2247C" w:rsidRPr="004210B4" w:rsidRDefault="00152FE7" w:rsidP="00244649">
            <w:pPr>
              <w:spacing w:before="0"/>
              <w:rPr>
                <w:rFonts w:cs="Arial"/>
                <w:sz w:val="24"/>
              </w:rPr>
            </w:pPr>
            <w:r>
              <w:rPr>
                <w:rFonts w:cs="Arial"/>
                <w:sz w:val="24"/>
              </w:rPr>
              <w:t>6</w:t>
            </w:r>
          </w:p>
        </w:tc>
      </w:tr>
      <w:tr w:rsidR="00C2247C" w:rsidRPr="004210B4" w14:paraId="7A9F06A7" w14:textId="77777777" w:rsidTr="00244649">
        <w:tc>
          <w:tcPr>
            <w:tcW w:w="1100" w:type="dxa"/>
          </w:tcPr>
          <w:p w14:paraId="76793BF6" w14:textId="77777777" w:rsidR="00C2247C" w:rsidRPr="004210B4" w:rsidRDefault="00C2247C" w:rsidP="00244649">
            <w:pPr>
              <w:spacing w:before="0"/>
              <w:jc w:val="center"/>
              <w:rPr>
                <w:rFonts w:cs="Arial"/>
                <w:sz w:val="24"/>
              </w:rPr>
            </w:pPr>
          </w:p>
        </w:tc>
        <w:tc>
          <w:tcPr>
            <w:tcW w:w="845" w:type="dxa"/>
          </w:tcPr>
          <w:p w14:paraId="23FE321F" w14:textId="77777777" w:rsidR="00C2247C" w:rsidRPr="004210B4" w:rsidRDefault="00C2247C" w:rsidP="00244649">
            <w:pPr>
              <w:spacing w:before="0"/>
              <w:jc w:val="left"/>
              <w:rPr>
                <w:rFonts w:cs="Arial"/>
                <w:bCs/>
                <w:iCs/>
                <w:sz w:val="24"/>
              </w:rPr>
            </w:pPr>
            <w:r w:rsidRPr="004210B4">
              <w:rPr>
                <w:rFonts w:cs="Arial"/>
                <w:bCs/>
                <w:iCs/>
                <w:sz w:val="24"/>
              </w:rPr>
              <w:t>1.3</w:t>
            </w:r>
          </w:p>
        </w:tc>
        <w:tc>
          <w:tcPr>
            <w:tcW w:w="5895" w:type="dxa"/>
          </w:tcPr>
          <w:p w14:paraId="69D59C83" w14:textId="77777777" w:rsidR="00C2247C" w:rsidRPr="004210B4" w:rsidRDefault="00C2247C" w:rsidP="00244649">
            <w:pPr>
              <w:spacing w:before="0"/>
              <w:jc w:val="left"/>
              <w:rPr>
                <w:rFonts w:cs="Arial"/>
                <w:bCs/>
                <w:iCs/>
                <w:sz w:val="24"/>
              </w:rPr>
            </w:pPr>
            <w:r w:rsidRPr="004210B4">
              <w:rPr>
                <w:rFonts w:cs="Arial"/>
                <w:bCs/>
                <w:iCs/>
                <w:sz w:val="24"/>
              </w:rPr>
              <w:t>Purpose</w:t>
            </w:r>
          </w:p>
        </w:tc>
        <w:tc>
          <w:tcPr>
            <w:tcW w:w="1176" w:type="dxa"/>
          </w:tcPr>
          <w:p w14:paraId="42E231D8" w14:textId="4EBEAEF1" w:rsidR="00C2247C" w:rsidRPr="004210B4" w:rsidRDefault="00525380" w:rsidP="00244649">
            <w:pPr>
              <w:spacing w:before="0"/>
              <w:rPr>
                <w:rFonts w:cs="Arial"/>
                <w:sz w:val="24"/>
              </w:rPr>
            </w:pPr>
            <w:r>
              <w:rPr>
                <w:rFonts w:cs="Arial"/>
                <w:sz w:val="24"/>
              </w:rPr>
              <w:t>6</w:t>
            </w:r>
          </w:p>
        </w:tc>
      </w:tr>
      <w:tr w:rsidR="00C2247C" w:rsidRPr="004210B4" w14:paraId="6C5C9774" w14:textId="77777777" w:rsidTr="00244649">
        <w:tc>
          <w:tcPr>
            <w:tcW w:w="1100" w:type="dxa"/>
          </w:tcPr>
          <w:p w14:paraId="41CF370B" w14:textId="77777777" w:rsidR="00C2247C" w:rsidRPr="004210B4" w:rsidRDefault="00C2247C" w:rsidP="00244649">
            <w:pPr>
              <w:spacing w:before="0"/>
              <w:jc w:val="center"/>
              <w:rPr>
                <w:rFonts w:cs="Arial"/>
                <w:sz w:val="24"/>
              </w:rPr>
            </w:pPr>
          </w:p>
        </w:tc>
        <w:tc>
          <w:tcPr>
            <w:tcW w:w="845" w:type="dxa"/>
          </w:tcPr>
          <w:p w14:paraId="457F7CEF" w14:textId="77777777" w:rsidR="00C2247C" w:rsidRPr="004210B4" w:rsidRDefault="00C2247C" w:rsidP="00244649">
            <w:pPr>
              <w:spacing w:before="0"/>
              <w:jc w:val="left"/>
              <w:rPr>
                <w:rFonts w:cs="Arial"/>
                <w:bCs/>
                <w:iCs/>
                <w:sz w:val="24"/>
              </w:rPr>
            </w:pPr>
            <w:r w:rsidRPr="004210B4">
              <w:rPr>
                <w:rFonts w:cs="Arial"/>
                <w:bCs/>
                <w:iCs/>
                <w:sz w:val="24"/>
              </w:rPr>
              <w:t>1.4</w:t>
            </w:r>
          </w:p>
        </w:tc>
        <w:tc>
          <w:tcPr>
            <w:tcW w:w="5895" w:type="dxa"/>
          </w:tcPr>
          <w:p w14:paraId="46E8B1CB" w14:textId="77777777" w:rsidR="00C2247C" w:rsidRPr="004210B4" w:rsidRDefault="00C2247C" w:rsidP="00244649">
            <w:pPr>
              <w:spacing w:before="0"/>
              <w:jc w:val="left"/>
              <w:rPr>
                <w:rFonts w:cs="Arial"/>
                <w:bCs/>
                <w:iCs/>
                <w:sz w:val="24"/>
              </w:rPr>
            </w:pPr>
            <w:r w:rsidRPr="004210B4">
              <w:rPr>
                <w:rFonts w:cs="Arial"/>
                <w:bCs/>
                <w:iCs/>
                <w:sz w:val="24"/>
              </w:rPr>
              <w:t>Objectives</w:t>
            </w:r>
          </w:p>
        </w:tc>
        <w:tc>
          <w:tcPr>
            <w:tcW w:w="1176" w:type="dxa"/>
          </w:tcPr>
          <w:p w14:paraId="67F991D5" w14:textId="64DA77F4" w:rsidR="00C2247C" w:rsidRPr="004210B4" w:rsidRDefault="00152FE7" w:rsidP="00244649">
            <w:pPr>
              <w:spacing w:before="0"/>
              <w:rPr>
                <w:rFonts w:cs="Arial"/>
                <w:sz w:val="24"/>
              </w:rPr>
            </w:pPr>
            <w:r>
              <w:rPr>
                <w:rFonts w:cs="Arial"/>
                <w:sz w:val="24"/>
              </w:rPr>
              <w:t>7</w:t>
            </w:r>
          </w:p>
        </w:tc>
      </w:tr>
      <w:tr w:rsidR="00C2247C" w:rsidRPr="004210B4" w14:paraId="7EB7078C" w14:textId="77777777" w:rsidTr="00244649">
        <w:tc>
          <w:tcPr>
            <w:tcW w:w="1100" w:type="dxa"/>
          </w:tcPr>
          <w:p w14:paraId="372B3FBE" w14:textId="77777777" w:rsidR="00C2247C" w:rsidRPr="004210B4" w:rsidRDefault="00C2247C" w:rsidP="00244649">
            <w:pPr>
              <w:spacing w:before="0"/>
              <w:jc w:val="center"/>
              <w:rPr>
                <w:rFonts w:cs="Arial"/>
                <w:sz w:val="24"/>
              </w:rPr>
            </w:pPr>
          </w:p>
        </w:tc>
        <w:tc>
          <w:tcPr>
            <w:tcW w:w="845" w:type="dxa"/>
          </w:tcPr>
          <w:p w14:paraId="11392695" w14:textId="77777777" w:rsidR="00C2247C" w:rsidRPr="004210B4" w:rsidRDefault="00C2247C" w:rsidP="00244649">
            <w:pPr>
              <w:spacing w:before="0"/>
              <w:jc w:val="left"/>
              <w:rPr>
                <w:rFonts w:cs="Arial"/>
                <w:bCs/>
                <w:iCs/>
                <w:sz w:val="24"/>
              </w:rPr>
            </w:pPr>
            <w:r w:rsidRPr="004210B4">
              <w:rPr>
                <w:rFonts w:cs="Arial"/>
                <w:bCs/>
                <w:iCs/>
                <w:sz w:val="24"/>
              </w:rPr>
              <w:t>1.5</w:t>
            </w:r>
          </w:p>
        </w:tc>
        <w:tc>
          <w:tcPr>
            <w:tcW w:w="5895" w:type="dxa"/>
          </w:tcPr>
          <w:p w14:paraId="5889CB57" w14:textId="77777777" w:rsidR="00C2247C" w:rsidRPr="004210B4" w:rsidRDefault="00C2247C" w:rsidP="00244649">
            <w:pPr>
              <w:spacing w:before="0"/>
              <w:jc w:val="left"/>
              <w:rPr>
                <w:rFonts w:cs="Arial"/>
                <w:bCs/>
                <w:iCs/>
                <w:sz w:val="24"/>
              </w:rPr>
            </w:pPr>
            <w:r>
              <w:rPr>
                <w:rFonts w:cs="Arial"/>
                <w:bCs/>
                <w:iCs/>
                <w:sz w:val="24"/>
              </w:rPr>
              <w:t>Definitions</w:t>
            </w:r>
          </w:p>
        </w:tc>
        <w:tc>
          <w:tcPr>
            <w:tcW w:w="1176" w:type="dxa"/>
          </w:tcPr>
          <w:p w14:paraId="394A9EB3" w14:textId="4582595E" w:rsidR="00C2247C" w:rsidRPr="004210B4" w:rsidRDefault="00525380" w:rsidP="00244649">
            <w:pPr>
              <w:spacing w:before="0"/>
              <w:rPr>
                <w:rFonts w:cs="Arial"/>
                <w:sz w:val="24"/>
              </w:rPr>
            </w:pPr>
            <w:r>
              <w:rPr>
                <w:rFonts w:cs="Arial"/>
                <w:sz w:val="24"/>
              </w:rPr>
              <w:t>7</w:t>
            </w:r>
          </w:p>
        </w:tc>
      </w:tr>
      <w:tr w:rsidR="00C2247C" w:rsidRPr="004210B4" w14:paraId="1E924DDC" w14:textId="77777777" w:rsidTr="00244649">
        <w:tc>
          <w:tcPr>
            <w:tcW w:w="1100" w:type="dxa"/>
          </w:tcPr>
          <w:p w14:paraId="4EA993D9" w14:textId="77777777" w:rsidR="00C2247C" w:rsidRPr="004210B4" w:rsidRDefault="00C2247C" w:rsidP="00244649">
            <w:pPr>
              <w:spacing w:before="0"/>
              <w:jc w:val="center"/>
              <w:rPr>
                <w:rFonts w:cs="Arial"/>
                <w:sz w:val="24"/>
              </w:rPr>
            </w:pPr>
          </w:p>
        </w:tc>
        <w:tc>
          <w:tcPr>
            <w:tcW w:w="845" w:type="dxa"/>
          </w:tcPr>
          <w:p w14:paraId="5A99CDC3" w14:textId="77777777" w:rsidR="00C2247C" w:rsidRPr="004210B4" w:rsidRDefault="00C2247C" w:rsidP="00244649">
            <w:pPr>
              <w:spacing w:before="0"/>
              <w:jc w:val="left"/>
              <w:rPr>
                <w:rFonts w:cs="Arial"/>
                <w:bCs/>
                <w:iCs/>
                <w:sz w:val="24"/>
              </w:rPr>
            </w:pPr>
            <w:r w:rsidRPr="004210B4">
              <w:rPr>
                <w:rFonts w:cs="Arial"/>
                <w:bCs/>
                <w:iCs/>
                <w:sz w:val="24"/>
              </w:rPr>
              <w:t>1.6</w:t>
            </w:r>
          </w:p>
        </w:tc>
        <w:tc>
          <w:tcPr>
            <w:tcW w:w="5895" w:type="dxa"/>
          </w:tcPr>
          <w:p w14:paraId="59779B30" w14:textId="77777777" w:rsidR="00C2247C" w:rsidRPr="004210B4" w:rsidRDefault="00C2247C" w:rsidP="00244649">
            <w:pPr>
              <w:spacing w:before="0"/>
              <w:jc w:val="left"/>
              <w:rPr>
                <w:rFonts w:cs="Arial"/>
                <w:bCs/>
                <w:iCs/>
                <w:sz w:val="24"/>
              </w:rPr>
            </w:pPr>
            <w:r>
              <w:rPr>
                <w:rFonts w:cs="Arial"/>
                <w:bCs/>
                <w:iCs/>
                <w:sz w:val="24"/>
              </w:rPr>
              <w:t>Duties</w:t>
            </w:r>
          </w:p>
        </w:tc>
        <w:tc>
          <w:tcPr>
            <w:tcW w:w="1176" w:type="dxa"/>
          </w:tcPr>
          <w:p w14:paraId="5C89691C" w14:textId="22297346" w:rsidR="00C2247C" w:rsidRPr="004210B4" w:rsidRDefault="00152FE7" w:rsidP="00244649">
            <w:pPr>
              <w:spacing w:before="0"/>
              <w:rPr>
                <w:rFonts w:cs="Arial"/>
                <w:sz w:val="24"/>
              </w:rPr>
            </w:pPr>
            <w:r>
              <w:rPr>
                <w:rFonts w:cs="Arial"/>
                <w:sz w:val="24"/>
              </w:rPr>
              <w:t>10</w:t>
            </w:r>
          </w:p>
        </w:tc>
      </w:tr>
      <w:tr w:rsidR="00C2247C" w:rsidRPr="004210B4" w14:paraId="5812FB8B" w14:textId="77777777" w:rsidTr="00244649">
        <w:tc>
          <w:tcPr>
            <w:tcW w:w="1100" w:type="dxa"/>
          </w:tcPr>
          <w:p w14:paraId="6DC1BFF8" w14:textId="77777777" w:rsidR="00C2247C" w:rsidRPr="004210B4" w:rsidRDefault="00C2247C" w:rsidP="00244649">
            <w:pPr>
              <w:spacing w:before="0"/>
              <w:jc w:val="center"/>
              <w:rPr>
                <w:rFonts w:cs="Arial"/>
                <w:sz w:val="24"/>
              </w:rPr>
            </w:pPr>
          </w:p>
        </w:tc>
        <w:tc>
          <w:tcPr>
            <w:tcW w:w="845" w:type="dxa"/>
          </w:tcPr>
          <w:p w14:paraId="3CEE7F23" w14:textId="77777777" w:rsidR="00C2247C" w:rsidRPr="004210B4" w:rsidRDefault="00C2247C" w:rsidP="00244649">
            <w:pPr>
              <w:spacing w:before="0"/>
              <w:jc w:val="left"/>
              <w:rPr>
                <w:rFonts w:cs="Arial"/>
                <w:bCs/>
                <w:iCs/>
                <w:sz w:val="24"/>
              </w:rPr>
            </w:pPr>
            <w:r>
              <w:rPr>
                <w:rFonts w:cs="Arial"/>
                <w:bCs/>
                <w:iCs/>
                <w:sz w:val="24"/>
              </w:rPr>
              <w:t>1.6.1</w:t>
            </w:r>
          </w:p>
        </w:tc>
        <w:tc>
          <w:tcPr>
            <w:tcW w:w="5895" w:type="dxa"/>
          </w:tcPr>
          <w:p w14:paraId="249026E0" w14:textId="77777777" w:rsidR="00C2247C" w:rsidRDefault="00C2247C" w:rsidP="00244649">
            <w:pPr>
              <w:spacing w:before="0"/>
              <w:jc w:val="left"/>
              <w:rPr>
                <w:rFonts w:cs="Arial"/>
                <w:bCs/>
                <w:iCs/>
                <w:sz w:val="24"/>
              </w:rPr>
            </w:pPr>
            <w:r>
              <w:rPr>
                <w:rFonts w:cs="Arial"/>
                <w:bCs/>
                <w:iCs/>
                <w:sz w:val="24"/>
              </w:rPr>
              <w:t>Who this policy applies to</w:t>
            </w:r>
          </w:p>
        </w:tc>
        <w:tc>
          <w:tcPr>
            <w:tcW w:w="1176" w:type="dxa"/>
          </w:tcPr>
          <w:p w14:paraId="49302BF4" w14:textId="7491636E" w:rsidR="00C2247C" w:rsidRPr="004210B4" w:rsidRDefault="00152FE7" w:rsidP="00244649">
            <w:pPr>
              <w:spacing w:before="0"/>
              <w:rPr>
                <w:rFonts w:cs="Arial"/>
                <w:sz w:val="24"/>
              </w:rPr>
            </w:pPr>
            <w:r>
              <w:rPr>
                <w:rFonts w:cs="Arial"/>
                <w:sz w:val="24"/>
              </w:rPr>
              <w:t>10</w:t>
            </w:r>
          </w:p>
        </w:tc>
      </w:tr>
      <w:tr w:rsidR="00C2247C" w:rsidRPr="004210B4" w14:paraId="6285DD2B" w14:textId="77777777" w:rsidTr="00244649">
        <w:tc>
          <w:tcPr>
            <w:tcW w:w="1100" w:type="dxa"/>
          </w:tcPr>
          <w:p w14:paraId="6B48DD68" w14:textId="77777777" w:rsidR="00C2247C" w:rsidRPr="004210B4" w:rsidRDefault="00C2247C" w:rsidP="00244649">
            <w:pPr>
              <w:spacing w:before="0"/>
              <w:jc w:val="center"/>
              <w:rPr>
                <w:rFonts w:cs="Arial"/>
                <w:sz w:val="24"/>
              </w:rPr>
            </w:pPr>
          </w:p>
        </w:tc>
        <w:tc>
          <w:tcPr>
            <w:tcW w:w="845" w:type="dxa"/>
          </w:tcPr>
          <w:p w14:paraId="6562DDC8" w14:textId="77777777" w:rsidR="00C2247C" w:rsidRPr="004210B4" w:rsidRDefault="00C2247C" w:rsidP="00244649">
            <w:pPr>
              <w:spacing w:before="0"/>
              <w:jc w:val="left"/>
              <w:rPr>
                <w:rFonts w:cs="Arial"/>
                <w:bCs/>
                <w:iCs/>
                <w:sz w:val="24"/>
              </w:rPr>
            </w:pPr>
            <w:r>
              <w:rPr>
                <w:rFonts w:cs="Arial"/>
                <w:bCs/>
                <w:iCs/>
                <w:sz w:val="24"/>
              </w:rPr>
              <w:t>1.6.2</w:t>
            </w:r>
          </w:p>
        </w:tc>
        <w:tc>
          <w:tcPr>
            <w:tcW w:w="5895" w:type="dxa"/>
          </w:tcPr>
          <w:p w14:paraId="1CE33D5E" w14:textId="77777777" w:rsidR="00C2247C" w:rsidRDefault="00C2247C" w:rsidP="00244649">
            <w:pPr>
              <w:spacing w:before="0"/>
              <w:jc w:val="left"/>
              <w:rPr>
                <w:rFonts w:cs="Arial"/>
                <w:bCs/>
                <w:iCs/>
                <w:sz w:val="24"/>
              </w:rPr>
            </w:pPr>
            <w:r>
              <w:rPr>
                <w:rFonts w:cs="Arial"/>
                <w:bCs/>
                <w:iCs/>
                <w:sz w:val="24"/>
              </w:rPr>
              <w:t>Roles and Responsibilities</w:t>
            </w:r>
          </w:p>
        </w:tc>
        <w:tc>
          <w:tcPr>
            <w:tcW w:w="1176" w:type="dxa"/>
          </w:tcPr>
          <w:p w14:paraId="54B5EE5A" w14:textId="0F26DBBB" w:rsidR="00C2247C" w:rsidRPr="004210B4" w:rsidRDefault="00152FE7" w:rsidP="00244649">
            <w:pPr>
              <w:spacing w:before="0"/>
              <w:rPr>
                <w:rFonts w:cs="Arial"/>
                <w:sz w:val="24"/>
              </w:rPr>
            </w:pPr>
            <w:r>
              <w:rPr>
                <w:rFonts w:cs="Arial"/>
                <w:sz w:val="24"/>
              </w:rPr>
              <w:t>10</w:t>
            </w:r>
          </w:p>
        </w:tc>
      </w:tr>
      <w:tr w:rsidR="00C2247C" w:rsidRPr="004210B4" w14:paraId="6C3AF110" w14:textId="77777777" w:rsidTr="00244649">
        <w:tc>
          <w:tcPr>
            <w:tcW w:w="1100" w:type="dxa"/>
          </w:tcPr>
          <w:p w14:paraId="448298BB" w14:textId="77777777" w:rsidR="00C2247C" w:rsidRPr="004210B4" w:rsidRDefault="00C2247C" w:rsidP="00244649">
            <w:pPr>
              <w:spacing w:before="0"/>
              <w:jc w:val="center"/>
              <w:rPr>
                <w:rFonts w:cs="Arial"/>
                <w:sz w:val="24"/>
              </w:rPr>
            </w:pPr>
          </w:p>
        </w:tc>
        <w:tc>
          <w:tcPr>
            <w:tcW w:w="845" w:type="dxa"/>
          </w:tcPr>
          <w:p w14:paraId="612A1D2A" w14:textId="77777777" w:rsidR="00C2247C" w:rsidRPr="004210B4" w:rsidRDefault="00C2247C" w:rsidP="00244649">
            <w:pPr>
              <w:spacing w:before="0"/>
              <w:jc w:val="left"/>
              <w:rPr>
                <w:rFonts w:cs="Arial"/>
                <w:bCs/>
                <w:iCs/>
                <w:sz w:val="24"/>
              </w:rPr>
            </w:pPr>
            <w:r>
              <w:rPr>
                <w:rFonts w:cs="Arial"/>
                <w:bCs/>
                <w:iCs/>
                <w:sz w:val="24"/>
              </w:rPr>
              <w:t>1.7</w:t>
            </w:r>
          </w:p>
        </w:tc>
        <w:tc>
          <w:tcPr>
            <w:tcW w:w="5895" w:type="dxa"/>
          </w:tcPr>
          <w:p w14:paraId="27ADCF4B" w14:textId="77777777" w:rsidR="00C2247C" w:rsidRDefault="00C2247C" w:rsidP="00244649">
            <w:pPr>
              <w:spacing w:before="0"/>
              <w:jc w:val="left"/>
              <w:rPr>
                <w:rFonts w:cs="Arial"/>
                <w:bCs/>
                <w:iCs/>
                <w:sz w:val="24"/>
              </w:rPr>
            </w:pPr>
            <w:r>
              <w:rPr>
                <w:rFonts w:cs="Arial"/>
                <w:bCs/>
                <w:iCs/>
                <w:sz w:val="24"/>
              </w:rPr>
              <w:t>Policy</w:t>
            </w:r>
          </w:p>
        </w:tc>
        <w:tc>
          <w:tcPr>
            <w:tcW w:w="1176" w:type="dxa"/>
          </w:tcPr>
          <w:p w14:paraId="51F62D76" w14:textId="4F2ADDCA" w:rsidR="00C2247C" w:rsidRPr="004210B4" w:rsidRDefault="007822CB" w:rsidP="00244649">
            <w:pPr>
              <w:spacing w:before="0"/>
              <w:rPr>
                <w:rFonts w:cs="Arial"/>
                <w:sz w:val="24"/>
              </w:rPr>
            </w:pPr>
            <w:r>
              <w:rPr>
                <w:rFonts w:cs="Arial"/>
                <w:sz w:val="24"/>
              </w:rPr>
              <w:t>1</w:t>
            </w:r>
            <w:r w:rsidR="00C3507F">
              <w:rPr>
                <w:rFonts w:cs="Arial"/>
                <w:sz w:val="24"/>
              </w:rPr>
              <w:t>1</w:t>
            </w:r>
          </w:p>
        </w:tc>
      </w:tr>
      <w:tr w:rsidR="00C2247C" w:rsidRPr="004210B4" w14:paraId="28D5B999" w14:textId="77777777" w:rsidTr="00244649">
        <w:tc>
          <w:tcPr>
            <w:tcW w:w="1100" w:type="dxa"/>
          </w:tcPr>
          <w:p w14:paraId="2C3EF3EA" w14:textId="77777777" w:rsidR="00C2247C" w:rsidRPr="004210B4" w:rsidRDefault="00C2247C" w:rsidP="00244649">
            <w:pPr>
              <w:spacing w:before="0"/>
              <w:jc w:val="center"/>
              <w:rPr>
                <w:rFonts w:cs="Arial"/>
                <w:sz w:val="24"/>
              </w:rPr>
            </w:pPr>
          </w:p>
        </w:tc>
        <w:tc>
          <w:tcPr>
            <w:tcW w:w="845" w:type="dxa"/>
          </w:tcPr>
          <w:p w14:paraId="062030A7" w14:textId="77777777" w:rsidR="00C2247C" w:rsidRPr="004210B4" w:rsidRDefault="00C2247C" w:rsidP="00244649">
            <w:pPr>
              <w:spacing w:before="0"/>
              <w:jc w:val="left"/>
              <w:rPr>
                <w:rFonts w:cs="Arial"/>
                <w:bCs/>
                <w:iCs/>
                <w:sz w:val="24"/>
              </w:rPr>
            </w:pPr>
            <w:r>
              <w:rPr>
                <w:rFonts w:cs="Arial"/>
                <w:bCs/>
                <w:iCs/>
                <w:sz w:val="24"/>
              </w:rPr>
              <w:t>1.7.1</w:t>
            </w:r>
          </w:p>
        </w:tc>
        <w:tc>
          <w:tcPr>
            <w:tcW w:w="5895" w:type="dxa"/>
          </w:tcPr>
          <w:p w14:paraId="1BF72593" w14:textId="77777777" w:rsidR="00C2247C" w:rsidRDefault="00C2247C" w:rsidP="00244649">
            <w:pPr>
              <w:spacing w:before="0"/>
              <w:jc w:val="left"/>
              <w:rPr>
                <w:rFonts w:cs="Arial"/>
                <w:bCs/>
                <w:iCs/>
                <w:sz w:val="24"/>
              </w:rPr>
            </w:pPr>
            <w:r w:rsidRPr="00F50436">
              <w:rPr>
                <w:rFonts w:cs="Arial"/>
                <w:bCs/>
                <w:iCs/>
                <w:sz w:val="24"/>
              </w:rPr>
              <w:t>Encouraging a learning from deaths culture</w:t>
            </w:r>
          </w:p>
        </w:tc>
        <w:tc>
          <w:tcPr>
            <w:tcW w:w="1176" w:type="dxa"/>
          </w:tcPr>
          <w:p w14:paraId="73694700" w14:textId="116F2147" w:rsidR="00C2247C" w:rsidRPr="004210B4" w:rsidRDefault="007822CB" w:rsidP="00244649">
            <w:pPr>
              <w:spacing w:before="0"/>
              <w:rPr>
                <w:rFonts w:cs="Arial"/>
                <w:sz w:val="24"/>
              </w:rPr>
            </w:pPr>
            <w:r>
              <w:rPr>
                <w:rFonts w:cs="Arial"/>
                <w:sz w:val="24"/>
              </w:rPr>
              <w:t>1</w:t>
            </w:r>
            <w:r w:rsidR="00C3507F">
              <w:rPr>
                <w:rFonts w:cs="Arial"/>
                <w:sz w:val="24"/>
              </w:rPr>
              <w:t>1</w:t>
            </w:r>
          </w:p>
        </w:tc>
      </w:tr>
      <w:tr w:rsidR="00C2247C" w:rsidRPr="004210B4" w14:paraId="07FBD923" w14:textId="77777777" w:rsidTr="00244649">
        <w:tc>
          <w:tcPr>
            <w:tcW w:w="1100" w:type="dxa"/>
          </w:tcPr>
          <w:p w14:paraId="2A3DD9F5" w14:textId="77777777" w:rsidR="00C2247C" w:rsidRPr="004210B4" w:rsidRDefault="00C2247C" w:rsidP="00244649">
            <w:pPr>
              <w:spacing w:before="0"/>
              <w:jc w:val="center"/>
              <w:rPr>
                <w:rFonts w:cs="Arial"/>
                <w:sz w:val="24"/>
              </w:rPr>
            </w:pPr>
          </w:p>
        </w:tc>
        <w:tc>
          <w:tcPr>
            <w:tcW w:w="845" w:type="dxa"/>
          </w:tcPr>
          <w:p w14:paraId="21DF4866" w14:textId="77777777" w:rsidR="00C2247C" w:rsidRPr="004210B4" w:rsidRDefault="00C2247C" w:rsidP="00244649">
            <w:pPr>
              <w:spacing w:before="0"/>
              <w:jc w:val="left"/>
              <w:rPr>
                <w:rFonts w:cs="Arial"/>
                <w:bCs/>
                <w:iCs/>
                <w:sz w:val="24"/>
              </w:rPr>
            </w:pPr>
            <w:r>
              <w:rPr>
                <w:rFonts w:cs="Arial"/>
                <w:bCs/>
                <w:iCs/>
                <w:sz w:val="24"/>
              </w:rPr>
              <w:t>1.7.2</w:t>
            </w:r>
          </w:p>
        </w:tc>
        <w:tc>
          <w:tcPr>
            <w:tcW w:w="5895" w:type="dxa"/>
          </w:tcPr>
          <w:p w14:paraId="0DE933F8" w14:textId="77777777" w:rsidR="00C2247C" w:rsidRDefault="00C2247C" w:rsidP="00244649">
            <w:pPr>
              <w:spacing w:before="0"/>
              <w:jc w:val="left"/>
              <w:rPr>
                <w:rFonts w:cs="Arial"/>
                <w:bCs/>
                <w:iCs/>
                <w:sz w:val="24"/>
              </w:rPr>
            </w:pPr>
            <w:r>
              <w:rPr>
                <w:rFonts w:cs="Arial"/>
                <w:bCs/>
                <w:iCs/>
                <w:sz w:val="24"/>
              </w:rPr>
              <w:t>Family Engagement</w:t>
            </w:r>
          </w:p>
        </w:tc>
        <w:tc>
          <w:tcPr>
            <w:tcW w:w="1176" w:type="dxa"/>
          </w:tcPr>
          <w:p w14:paraId="467B6C70" w14:textId="1A073DE0" w:rsidR="00C2247C" w:rsidRPr="004210B4" w:rsidRDefault="007822CB" w:rsidP="00244649">
            <w:pPr>
              <w:spacing w:before="0"/>
              <w:rPr>
                <w:rFonts w:cs="Arial"/>
                <w:sz w:val="24"/>
              </w:rPr>
            </w:pPr>
            <w:r>
              <w:rPr>
                <w:rFonts w:cs="Arial"/>
                <w:sz w:val="24"/>
              </w:rPr>
              <w:t>12</w:t>
            </w:r>
          </w:p>
        </w:tc>
      </w:tr>
      <w:tr w:rsidR="00C2247C" w:rsidRPr="004210B4" w14:paraId="62F34AB8" w14:textId="77777777" w:rsidTr="00244649">
        <w:tc>
          <w:tcPr>
            <w:tcW w:w="1100" w:type="dxa"/>
          </w:tcPr>
          <w:p w14:paraId="63C5BC06" w14:textId="77777777" w:rsidR="00C2247C" w:rsidRPr="004210B4" w:rsidRDefault="00C2247C" w:rsidP="00244649">
            <w:pPr>
              <w:spacing w:before="0"/>
              <w:jc w:val="center"/>
              <w:rPr>
                <w:rFonts w:cs="Arial"/>
                <w:sz w:val="24"/>
              </w:rPr>
            </w:pPr>
          </w:p>
        </w:tc>
        <w:tc>
          <w:tcPr>
            <w:tcW w:w="845" w:type="dxa"/>
          </w:tcPr>
          <w:p w14:paraId="33CB27BE" w14:textId="77777777" w:rsidR="00C2247C" w:rsidRPr="004210B4" w:rsidRDefault="00C2247C" w:rsidP="00244649">
            <w:pPr>
              <w:spacing w:before="0"/>
              <w:jc w:val="left"/>
              <w:rPr>
                <w:rFonts w:cs="Arial"/>
                <w:bCs/>
                <w:iCs/>
                <w:sz w:val="24"/>
              </w:rPr>
            </w:pPr>
            <w:r>
              <w:rPr>
                <w:rFonts w:cs="Arial"/>
                <w:bCs/>
                <w:iCs/>
                <w:sz w:val="24"/>
              </w:rPr>
              <w:t>1.7.3</w:t>
            </w:r>
          </w:p>
        </w:tc>
        <w:tc>
          <w:tcPr>
            <w:tcW w:w="5895" w:type="dxa"/>
          </w:tcPr>
          <w:p w14:paraId="13C07DA4" w14:textId="77777777" w:rsidR="00C2247C" w:rsidRDefault="00C2247C" w:rsidP="00244649">
            <w:pPr>
              <w:spacing w:before="0"/>
              <w:jc w:val="left"/>
              <w:rPr>
                <w:rFonts w:cs="Arial"/>
                <w:bCs/>
                <w:iCs/>
                <w:sz w:val="24"/>
              </w:rPr>
            </w:pPr>
            <w:r>
              <w:rPr>
                <w:rFonts w:cs="Arial"/>
                <w:bCs/>
                <w:iCs/>
                <w:sz w:val="24"/>
              </w:rPr>
              <w:t>Scope of reportable deaths</w:t>
            </w:r>
          </w:p>
        </w:tc>
        <w:tc>
          <w:tcPr>
            <w:tcW w:w="1176" w:type="dxa"/>
          </w:tcPr>
          <w:p w14:paraId="5AA0B958" w14:textId="216C1ED5" w:rsidR="00C2247C" w:rsidRPr="004210B4" w:rsidRDefault="007822CB" w:rsidP="00244649">
            <w:pPr>
              <w:spacing w:before="0"/>
              <w:rPr>
                <w:rFonts w:cs="Arial"/>
                <w:sz w:val="24"/>
              </w:rPr>
            </w:pPr>
            <w:r>
              <w:rPr>
                <w:rFonts w:cs="Arial"/>
                <w:sz w:val="24"/>
              </w:rPr>
              <w:t>1</w:t>
            </w:r>
            <w:r w:rsidR="00483499">
              <w:rPr>
                <w:rFonts w:cs="Arial"/>
                <w:sz w:val="24"/>
              </w:rPr>
              <w:t>4</w:t>
            </w:r>
          </w:p>
        </w:tc>
      </w:tr>
      <w:tr w:rsidR="00C2247C" w:rsidRPr="004210B4" w14:paraId="51E2B83B" w14:textId="77777777" w:rsidTr="00244649">
        <w:tc>
          <w:tcPr>
            <w:tcW w:w="1100" w:type="dxa"/>
          </w:tcPr>
          <w:p w14:paraId="2A86684F" w14:textId="77777777" w:rsidR="00C2247C" w:rsidRPr="004210B4" w:rsidRDefault="00C2247C" w:rsidP="00244649">
            <w:pPr>
              <w:spacing w:before="0"/>
              <w:jc w:val="center"/>
              <w:rPr>
                <w:rFonts w:cs="Arial"/>
                <w:sz w:val="24"/>
              </w:rPr>
            </w:pPr>
          </w:p>
        </w:tc>
        <w:tc>
          <w:tcPr>
            <w:tcW w:w="845" w:type="dxa"/>
          </w:tcPr>
          <w:p w14:paraId="015C7505" w14:textId="77777777" w:rsidR="00C2247C" w:rsidRPr="004210B4" w:rsidRDefault="00C2247C" w:rsidP="00244649">
            <w:pPr>
              <w:spacing w:before="0"/>
              <w:jc w:val="left"/>
              <w:rPr>
                <w:rFonts w:cs="Arial"/>
                <w:bCs/>
                <w:iCs/>
                <w:sz w:val="24"/>
              </w:rPr>
            </w:pPr>
            <w:r>
              <w:rPr>
                <w:rFonts w:cs="Arial"/>
                <w:bCs/>
                <w:iCs/>
                <w:sz w:val="24"/>
              </w:rPr>
              <w:t>1.7.4</w:t>
            </w:r>
          </w:p>
        </w:tc>
        <w:tc>
          <w:tcPr>
            <w:tcW w:w="5895" w:type="dxa"/>
          </w:tcPr>
          <w:p w14:paraId="5301FDE2" w14:textId="77777777" w:rsidR="00C2247C" w:rsidRDefault="00C2247C" w:rsidP="00244649">
            <w:pPr>
              <w:spacing w:before="0"/>
              <w:jc w:val="left"/>
              <w:rPr>
                <w:rFonts w:cs="Arial"/>
                <w:bCs/>
                <w:iCs/>
                <w:sz w:val="24"/>
              </w:rPr>
            </w:pPr>
            <w:r>
              <w:rPr>
                <w:rFonts w:cs="Arial"/>
                <w:bCs/>
                <w:iCs/>
                <w:sz w:val="24"/>
              </w:rPr>
              <w:t>The decision to investigate or review</w:t>
            </w:r>
          </w:p>
        </w:tc>
        <w:tc>
          <w:tcPr>
            <w:tcW w:w="1176" w:type="dxa"/>
          </w:tcPr>
          <w:p w14:paraId="0E75A25E" w14:textId="25B572ED" w:rsidR="00C2247C" w:rsidRPr="004210B4" w:rsidRDefault="007822CB" w:rsidP="00244649">
            <w:pPr>
              <w:spacing w:before="0"/>
              <w:rPr>
                <w:rFonts w:cs="Arial"/>
                <w:sz w:val="24"/>
              </w:rPr>
            </w:pPr>
            <w:r>
              <w:rPr>
                <w:rFonts w:cs="Arial"/>
                <w:sz w:val="24"/>
              </w:rPr>
              <w:t>1</w:t>
            </w:r>
            <w:r w:rsidR="00E802D9">
              <w:rPr>
                <w:rFonts w:cs="Arial"/>
                <w:sz w:val="24"/>
              </w:rPr>
              <w:t>5</w:t>
            </w:r>
          </w:p>
        </w:tc>
      </w:tr>
      <w:tr w:rsidR="00C2247C" w:rsidRPr="004210B4" w14:paraId="3C6347B3" w14:textId="77777777" w:rsidTr="00244649">
        <w:tc>
          <w:tcPr>
            <w:tcW w:w="1100" w:type="dxa"/>
          </w:tcPr>
          <w:p w14:paraId="01C27F3D" w14:textId="77777777" w:rsidR="00C2247C" w:rsidRPr="004210B4" w:rsidRDefault="00C2247C" w:rsidP="00244649">
            <w:pPr>
              <w:spacing w:before="0"/>
              <w:jc w:val="center"/>
              <w:rPr>
                <w:rFonts w:cs="Arial"/>
                <w:sz w:val="24"/>
              </w:rPr>
            </w:pPr>
          </w:p>
        </w:tc>
        <w:tc>
          <w:tcPr>
            <w:tcW w:w="845" w:type="dxa"/>
          </w:tcPr>
          <w:p w14:paraId="1D97E56F" w14:textId="77777777" w:rsidR="00C2247C" w:rsidRDefault="00C2247C" w:rsidP="00244649">
            <w:pPr>
              <w:spacing w:before="0"/>
              <w:jc w:val="left"/>
              <w:rPr>
                <w:rFonts w:cs="Arial"/>
                <w:bCs/>
                <w:iCs/>
                <w:sz w:val="24"/>
              </w:rPr>
            </w:pPr>
            <w:r>
              <w:rPr>
                <w:rFonts w:cs="Arial"/>
                <w:bCs/>
                <w:iCs/>
                <w:sz w:val="24"/>
              </w:rPr>
              <w:t>1.7.5</w:t>
            </w:r>
          </w:p>
        </w:tc>
        <w:tc>
          <w:tcPr>
            <w:tcW w:w="5895" w:type="dxa"/>
          </w:tcPr>
          <w:p w14:paraId="6749957C" w14:textId="77777777" w:rsidR="00C2247C" w:rsidRDefault="00C2247C" w:rsidP="00244649">
            <w:pPr>
              <w:spacing w:before="0"/>
              <w:jc w:val="left"/>
              <w:rPr>
                <w:rFonts w:cs="Arial"/>
                <w:bCs/>
                <w:iCs/>
                <w:sz w:val="24"/>
              </w:rPr>
            </w:pPr>
            <w:r>
              <w:rPr>
                <w:rFonts w:cs="Arial"/>
                <w:bCs/>
                <w:iCs/>
                <w:sz w:val="24"/>
              </w:rPr>
              <w:t>Levels of Review</w:t>
            </w:r>
          </w:p>
        </w:tc>
        <w:tc>
          <w:tcPr>
            <w:tcW w:w="1176" w:type="dxa"/>
          </w:tcPr>
          <w:p w14:paraId="0CF8B5CE" w14:textId="1636A75A" w:rsidR="00C2247C" w:rsidRPr="004210B4" w:rsidRDefault="007822CB" w:rsidP="00244649">
            <w:pPr>
              <w:spacing w:before="0"/>
              <w:rPr>
                <w:rFonts w:cs="Arial"/>
                <w:sz w:val="24"/>
              </w:rPr>
            </w:pPr>
            <w:r>
              <w:rPr>
                <w:rFonts w:cs="Arial"/>
                <w:sz w:val="24"/>
              </w:rPr>
              <w:t>2</w:t>
            </w:r>
            <w:r w:rsidR="000628F3">
              <w:rPr>
                <w:rFonts w:cs="Arial"/>
                <w:sz w:val="24"/>
              </w:rPr>
              <w:t>0</w:t>
            </w:r>
          </w:p>
        </w:tc>
      </w:tr>
      <w:tr w:rsidR="00C2247C" w:rsidRPr="004210B4" w14:paraId="50F45391" w14:textId="77777777" w:rsidTr="00244649">
        <w:tc>
          <w:tcPr>
            <w:tcW w:w="1100" w:type="dxa"/>
          </w:tcPr>
          <w:p w14:paraId="47C269C8" w14:textId="77777777" w:rsidR="00C2247C" w:rsidRPr="004210B4" w:rsidRDefault="00C2247C" w:rsidP="00244649">
            <w:pPr>
              <w:spacing w:before="0"/>
              <w:jc w:val="center"/>
              <w:rPr>
                <w:rFonts w:cs="Arial"/>
                <w:sz w:val="24"/>
              </w:rPr>
            </w:pPr>
          </w:p>
        </w:tc>
        <w:tc>
          <w:tcPr>
            <w:tcW w:w="845" w:type="dxa"/>
          </w:tcPr>
          <w:p w14:paraId="0860E9A3" w14:textId="77777777" w:rsidR="00C2247C" w:rsidRDefault="00C2247C" w:rsidP="00244649">
            <w:pPr>
              <w:spacing w:before="0"/>
              <w:jc w:val="left"/>
              <w:rPr>
                <w:rFonts w:cs="Arial"/>
                <w:bCs/>
                <w:iCs/>
                <w:sz w:val="24"/>
              </w:rPr>
            </w:pPr>
            <w:r>
              <w:rPr>
                <w:rFonts w:cs="Arial"/>
                <w:bCs/>
                <w:iCs/>
                <w:sz w:val="24"/>
              </w:rPr>
              <w:t>1.7.6</w:t>
            </w:r>
          </w:p>
        </w:tc>
        <w:tc>
          <w:tcPr>
            <w:tcW w:w="5895" w:type="dxa"/>
          </w:tcPr>
          <w:p w14:paraId="08EFCCBD" w14:textId="77777777" w:rsidR="00C2247C" w:rsidRDefault="00C2247C" w:rsidP="00244649">
            <w:pPr>
              <w:spacing w:before="0"/>
              <w:jc w:val="left"/>
              <w:rPr>
                <w:rFonts w:cs="Arial"/>
                <w:bCs/>
                <w:iCs/>
                <w:sz w:val="24"/>
              </w:rPr>
            </w:pPr>
            <w:r>
              <w:rPr>
                <w:rFonts w:cs="Arial"/>
                <w:bCs/>
                <w:iCs/>
                <w:sz w:val="24"/>
              </w:rPr>
              <w:t>Joint Investigations</w:t>
            </w:r>
          </w:p>
        </w:tc>
        <w:tc>
          <w:tcPr>
            <w:tcW w:w="1176" w:type="dxa"/>
          </w:tcPr>
          <w:p w14:paraId="728E1CD0" w14:textId="4F061A47" w:rsidR="00C2247C" w:rsidRPr="004210B4" w:rsidRDefault="007822CB" w:rsidP="00244649">
            <w:pPr>
              <w:spacing w:before="0"/>
              <w:rPr>
                <w:rFonts w:cs="Arial"/>
                <w:sz w:val="24"/>
              </w:rPr>
            </w:pPr>
            <w:r>
              <w:rPr>
                <w:rFonts w:cs="Arial"/>
                <w:sz w:val="24"/>
              </w:rPr>
              <w:t>2</w:t>
            </w:r>
            <w:r w:rsidR="00DC45F5">
              <w:rPr>
                <w:rFonts w:cs="Arial"/>
                <w:sz w:val="24"/>
              </w:rPr>
              <w:t>1</w:t>
            </w:r>
          </w:p>
        </w:tc>
      </w:tr>
      <w:tr w:rsidR="00C2247C" w:rsidRPr="004210B4" w14:paraId="5B8239EF" w14:textId="77777777" w:rsidTr="00244649">
        <w:tc>
          <w:tcPr>
            <w:tcW w:w="1100" w:type="dxa"/>
          </w:tcPr>
          <w:p w14:paraId="4836D331" w14:textId="77777777" w:rsidR="00C2247C" w:rsidRPr="004210B4" w:rsidRDefault="00C2247C" w:rsidP="00244649">
            <w:pPr>
              <w:spacing w:before="0"/>
              <w:jc w:val="center"/>
              <w:rPr>
                <w:rFonts w:cs="Arial"/>
                <w:sz w:val="24"/>
              </w:rPr>
            </w:pPr>
          </w:p>
        </w:tc>
        <w:tc>
          <w:tcPr>
            <w:tcW w:w="845" w:type="dxa"/>
          </w:tcPr>
          <w:p w14:paraId="7A50DFC1" w14:textId="77777777" w:rsidR="00C2247C" w:rsidRDefault="00C2247C" w:rsidP="00244649">
            <w:pPr>
              <w:spacing w:before="0"/>
              <w:jc w:val="left"/>
              <w:rPr>
                <w:rFonts w:cs="Arial"/>
                <w:bCs/>
                <w:iCs/>
                <w:sz w:val="24"/>
              </w:rPr>
            </w:pPr>
            <w:r>
              <w:rPr>
                <w:rFonts w:cs="Arial"/>
                <w:bCs/>
                <w:iCs/>
                <w:sz w:val="24"/>
              </w:rPr>
              <w:t>1.7.7</w:t>
            </w:r>
          </w:p>
        </w:tc>
        <w:tc>
          <w:tcPr>
            <w:tcW w:w="5895" w:type="dxa"/>
          </w:tcPr>
          <w:p w14:paraId="0BA4F0F8" w14:textId="77777777" w:rsidR="00C2247C" w:rsidRDefault="00C2247C" w:rsidP="00244649">
            <w:pPr>
              <w:spacing w:before="0"/>
              <w:jc w:val="left"/>
              <w:rPr>
                <w:rFonts w:cs="Arial"/>
                <w:bCs/>
                <w:iCs/>
                <w:sz w:val="24"/>
              </w:rPr>
            </w:pPr>
            <w:r>
              <w:rPr>
                <w:rFonts w:cs="Arial"/>
                <w:bCs/>
                <w:iCs/>
                <w:sz w:val="24"/>
              </w:rPr>
              <w:t>Other investigations</w:t>
            </w:r>
          </w:p>
        </w:tc>
        <w:tc>
          <w:tcPr>
            <w:tcW w:w="1176" w:type="dxa"/>
          </w:tcPr>
          <w:p w14:paraId="51BD0554" w14:textId="60C7FC13" w:rsidR="00C2247C" w:rsidRPr="004210B4" w:rsidRDefault="007822CB" w:rsidP="00244649">
            <w:pPr>
              <w:spacing w:before="0"/>
              <w:rPr>
                <w:rFonts w:cs="Arial"/>
                <w:sz w:val="24"/>
              </w:rPr>
            </w:pPr>
            <w:r>
              <w:rPr>
                <w:rFonts w:cs="Arial"/>
                <w:sz w:val="24"/>
              </w:rPr>
              <w:t>2</w:t>
            </w:r>
            <w:r w:rsidR="00DC45F5">
              <w:rPr>
                <w:rFonts w:cs="Arial"/>
                <w:sz w:val="24"/>
              </w:rPr>
              <w:t>1</w:t>
            </w:r>
          </w:p>
        </w:tc>
      </w:tr>
      <w:tr w:rsidR="00C2247C" w:rsidRPr="004210B4" w14:paraId="443F6A83" w14:textId="77777777" w:rsidTr="00244649">
        <w:tc>
          <w:tcPr>
            <w:tcW w:w="1100" w:type="dxa"/>
          </w:tcPr>
          <w:p w14:paraId="2DF57E89" w14:textId="77777777" w:rsidR="00C2247C" w:rsidRPr="004210B4" w:rsidRDefault="00C2247C" w:rsidP="00244649">
            <w:pPr>
              <w:spacing w:before="0"/>
              <w:jc w:val="center"/>
              <w:rPr>
                <w:rFonts w:cs="Arial"/>
                <w:sz w:val="24"/>
              </w:rPr>
            </w:pPr>
          </w:p>
        </w:tc>
        <w:tc>
          <w:tcPr>
            <w:tcW w:w="845" w:type="dxa"/>
          </w:tcPr>
          <w:p w14:paraId="3E041926" w14:textId="77777777" w:rsidR="00C2247C" w:rsidRDefault="00C2247C" w:rsidP="00244649">
            <w:pPr>
              <w:spacing w:before="0"/>
              <w:jc w:val="left"/>
              <w:rPr>
                <w:rFonts w:cs="Arial"/>
                <w:bCs/>
                <w:iCs/>
                <w:sz w:val="24"/>
              </w:rPr>
            </w:pPr>
            <w:r>
              <w:rPr>
                <w:rFonts w:cs="Arial"/>
                <w:bCs/>
                <w:iCs/>
                <w:sz w:val="24"/>
              </w:rPr>
              <w:t>1.7.8</w:t>
            </w:r>
          </w:p>
        </w:tc>
        <w:tc>
          <w:tcPr>
            <w:tcW w:w="5895" w:type="dxa"/>
          </w:tcPr>
          <w:p w14:paraId="3E45964E" w14:textId="03276D21" w:rsidR="00C2247C" w:rsidRDefault="00C2247C" w:rsidP="00244649">
            <w:pPr>
              <w:spacing w:before="0"/>
              <w:jc w:val="left"/>
              <w:rPr>
                <w:rFonts w:cs="Arial"/>
                <w:bCs/>
                <w:iCs/>
                <w:sz w:val="24"/>
              </w:rPr>
            </w:pPr>
            <w:r>
              <w:rPr>
                <w:rFonts w:cs="Arial"/>
                <w:bCs/>
                <w:iCs/>
                <w:sz w:val="24"/>
              </w:rPr>
              <w:t>Learning Disability</w:t>
            </w:r>
            <w:r w:rsidR="00523912">
              <w:rPr>
                <w:rFonts w:cs="Arial"/>
                <w:bCs/>
                <w:iCs/>
                <w:sz w:val="24"/>
              </w:rPr>
              <w:t xml:space="preserve"> and Autism</w:t>
            </w:r>
            <w:r>
              <w:rPr>
                <w:rFonts w:cs="Arial"/>
                <w:bCs/>
                <w:iCs/>
                <w:sz w:val="24"/>
              </w:rPr>
              <w:t xml:space="preserve"> Deaths </w:t>
            </w:r>
          </w:p>
        </w:tc>
        <w:tc>
          <w:tcPr>
            <w:tcW w:w="1176" w:type="dxa"/>
          </w:tcPr>
          <w:p w14:paraId="0EA3FD77" w14:textId="6E985FCF" w:rsidR="00C2247C" w:rsidRPr="004210B4" w:rsidRDefault="007822CB" w:rsidP="00244649">
            <w:pPr>
              <w:spacing w:before="0"/>
              <w:rPr>
                <w:rFonts w:cs="Arial"/>
                <w:sz w:val="24"/>
              </w:rPr>
            </w:pPr>
            <w:r>
              <w:rPr>
                <w:rFonts w:cs="Arial"/>
                <w:sz w:val="24"/>
              </w:rPr>
              <w:t>2</w:t>
            </w:r>
            <w:r w:rsidR="00DC45F5">
              <w:rPr>
                <w:rFonts w:cs="Arial"/>
                <w:sz w:val="24"/>
              </w:rPr>
              <w:t>1</w:t>
            </w:r>
          </w:p>
        </w:tc>
      </w:tr>
      <w:tr w:rsidR="00C2247C" w:rsidRPr="004210B4" w14:paraId="3B460E8E" w14:textId="77777777" w:rsidTr="00244649">
        <w:tc>
          <w:tcPr>
            <w:tcW w:w="1100" w:type="dxa"/>
          </w:tcPr>
          <w:p w14:paraId="4FE60AD7" w14:textId="77777777" w:rsidR="00C2247C" w:rsidRPr="004210B4" w:rsidRDefault="00C2247C" w:rsidP="00244649">
            <w:pPr>
              <w:spacing w:before="0"/>
              <w:jc w:val="center"/>
              <w:rPr>
                <w:rFonts w:cs="Arial"/>
                <w:sz w:val="24"/>
              </w:rPr>
            </w:pPr>
          </w:p>
        </w:tc>
        <w:tc>
          <w:tcPr>
            <w:tcW w:w="845" w:type="dxa"/>
          </w:tcPr>
          <w:p w14:paraId="473ABF7C" w14:textId="77777777" w:rsidR="00C2247C" w:rsidRDefault="00C2247C" w:rsidP="00244649">
            <w:pPr>
              <w:spacing w:before="0"/>
              <w:jc w:val="left"/>
              <w:rPr>
                <w:rFonts w:cs="Arial"/>
                <w:bCs/>
                <w:iCs/>
                <w:sz w:val="24"/>
              </w:rPr>
            </w:pPr>
            <w:r>
              <w:rPr>
                <w:rFonts w:cs="Arial"/>
                <w:bCs/>
                <w:iCs/>
                <w:sz w:val="24"/>
              </w:rPr>
              <w:t>1.8</w:t>
            </w:r>
          </w:p>
        </w:tc>
        <w:tc>
          <w:tcPr>
            <w:tcW w:w="5895" w:type="dxa"/>
          </w:tcPr>
          <w:p w14:paraId="33D0C8AC" w14:textId="77777777" w:rsidR="00C2247C" w:rsidRDefault="00C2247C" w:rsidP="00244649">
            <w:pPr>
              <w:spacing w:before="0"/>
              <w:jc w:val="left"/>
              <w:rPr>
                <w:rFonts w:cs="Arial"/>
                <w:bCs/>
                <w:iCs/>
                <w:sz w:val="24"/>
              </w:rPr>
            </w:pPr>
            <w:r>
              <w:rPr>
                <w:rFonts w:cs="Arial"/>
                <w:bCs/>
                <w:iCs/>
                <w:sz w:val="24"/>
              </w:rPr>
              <w:t>Governance Process/ensuring learning</w:t>
            </w:r>
          </w:p>
        </w:tc>
        <w:tc>
          <w:tcPr>
            <w:tcW w:w="1176" w:type="dxa"/>
          </w:tcPr>
          <w:p w14:paraId="6BAF330B" w14:textId="34115208" w:rsidR="00C2247C" w:rsidRPr="004210B4" w:rsidRDefault="007822CB" w:rsidP="00244649">
            <w:pPr>
              <w:spacing w:before="0"/>
              <w:rPr>
                <w:rFonts w:cs="Arial"/>
                <w:sz w:val="24"/>
              </w:rPr>
            </w:pPr>
            <w:r>
              <w:rPr>
                <w:rFonts w:cs="Arial"/>
                <w:sz w:val="24"/>
              </w:rPr>
              <w:t>2</w:t>
            </w:r>
            <w:r w:rsidR="00DC45F5">
              <w:rPr>
                <w:rFonts w:cs="Arial"/>
                <w:sz w:val="24"/>
              </w:rPr>
              <w:t>1</w:t>
            </w:r>
          </w:p>
        </w:tc>
      </w:tr>
      <w:tr w:rsidR="00C2247C" w:rsidRPr="004210B4" w14:paraId="54100B39" w14:textId="77777777" w:rsidTr="00244649">
        <w:tc>
          <w:tcPr>
            <w:tcW w:w="1100" w:type="dxa"/>
          </w:tcPr>
          <w:p w14:paraId="09A9243F" w14:textId="77777777" w:rsidR="00C2247C" w:rsidRPr="004210B4" w:rsidRDefault="00C2247C" w:rsidP="00244649">
            <w:pPr>
              <w:spacing w:before="0"/>
              <w:jc w:val="center"/>
              <w:rPr>
                <w:rFonts w:cs="Arial"/>
                <w:sz w:val="24"/>
              </w:rPr>
            </w:pPr>
          </w:p>
        </w:tc>
        <w:tc>
          <w:tcPr>
            <w:tcW w:w="845" w:type="dxa"/>
          </w:tcPr>
          <w:p w14:paraId="38E04361" w14:textId="77777777" w:rsidR="00C2247C" w:rsidRDefault="00C2247C" w:rsidP="00244649">
            <w:pPr>
              <w:spacing w:before="0"/>
              <w:jc w:val="left"/>
              <w:rPr>
                <w:rFonts w:cs="Arial"/>
                <w:bCs/>
                <w:iCs/>
                <w:sz w:val="24"/>
              </w:rPr>
            </w:pPr>
            <w:r>
              <w:rPr>
                <w:rFonts w:cs="Arial"/>
                <w:bCs/>
                <w:iCs/>
                <w:sz w:val="24"/>
              </w:rPr>
              <w:t>1.8.1</w:t>
            </w:r>
          </w:p>
        </w:tc>
        <w:tc>
          <w:tcPr>
            <w:tcW w:w="5895" w:type="dxa"/>
          </w:tcPr>
          <w:p w14:paraId="0E85A673" w14:textId="77777777" w:rsidR="00C2247C" w:rsidRDefault="00C2247C" w:rsidP="00244649">
            <w:pPr>
              <w:spacing w:before="0"/>
              <w:jc w:val="left"/>
              <w:rPr>
                <w:rFonts w:cs="Arial"/>
                <w:bCs/>
                <w:iCs/>
                <w:sz w:val="24"/>
              </w:rPr>
            </w:pPr>
            <w:r>
              <w:rPr>
                <w:rFonts w:cs="Arial"/>
                <w:bCs/>
                <w:iCs/>
                <w:sz w:val="24"/>
              </w:rPr>
              <w:t xml:space="preserve">Data Reporting </w:t>
            </w:r>
          </w:p>
        </w:tc>
        <w:tc>
          <w:tcPr>
            <w:tcW w:w="1176" w:type="dxa"/>
          </w:tcPr>
          <w:p w14:paraId="384F44D2" w14:textId="0E76DA96" w:rsidR="00C2247C" w:rsidRPr="004210B4" w:rsidRDefault="007822CB" w:rsidP="00244649">
            <w:pPr>
              <w:spacing w:before="0"/>
              <w:rPr>
                <w:rFonts w:cs="Arial"/>
                <w:sz w:val="24"/>
              </w:rPr>
            </w:pPr>
            <w:r>
              <w:rPr>
                <w:rFonts w:cs="Arial"/>
                <w:sz w:val="24"/>
              </w:rPr>
              <w:t>2</w:t>
            </w:r>
            <w:r w:rsidR="009F556D">
              <w:rPr>
                <w:rFonts w:cs="Arial"/>
                <w:sz w:val="24"/>
              </w:rPr>
              <w:t>2</w:t>
            </w:r>
          </w:p>
        </w:tc>
      </w:tr>
      <w:tr w:rsidR="00C2247C" w:rsidRPr="004210B4" w14:paraId="6339CBBB" w14:textId="77777777" w:rsidTr="00244649">
        <w:tc>
          <w:tcPr>
            <w:tcW w:w="1100" w:type="dxa"/>
          </w:tcPr>
          <w:p w14:paraId="068B68DF" w14:textId="77777777" w:rsidR="00C2247C" w:rsidRPr="004210B4" w:rsidRDefault="00C2247C" w:rsidP="00244649">
            <w:pPr>
              <w:spacing w:before="0"/>
              <w:jc w:val="center"/>
              <w:rPr>
                <w:rFonts w:cs="Arial"/>
                <w:sz w:val="24"/>
              </w:rPr>
            </w:pPr>
            <w:r w:rsidRPr="004210B4">
              <w:rPr>
                <w:rFonts w:cs="Arial"/>
                <w:sz w:val="24"/>
              </w:rPr>
              <w:t>2</w:t>
            </w:r>
          </w:p>
        </w:tc>
        <w:tc>
          <w:tcPr>
            <w:tcW w:w="6740" w:type="dxa"/>
            <w:gridSpan w:val="2"/>
          </w:tcPr>
          <w:p w14:paraId="2D42DA5A" w14:textId="77777777" w:rsidR="00C2247C" w:rsidRPr="004210B4" w:rsidRDefault="00C2247C" w:rsidP="00244649">
            <w:pPr>
              <w:spacing w:before="0"/>
              <w:jc w:val="left"/>
              <w:rPr>
                <w:rFonts w:cs="Arial"/>
                <w:sz w:val="24"/>
              </w:rPr>
            </w:pPr>
            <w:r w:rsidRPr="004210B4">
              <w:rPr>
                <w:rFonts w:cs="Arial"/>
                <w:sz w:val="24"/>
              </w:rPr>
              <w:t>Appendix A – Mortality Review within LYPFT</w:t>
            </w:r>
          </w:p>
        </w:tc>
        <w:tc>
          <w:tcPr>
            <w:tcW w:w="1176" w:type="dxa"/>
          </w:tcPr>
          <w:p w14:paraId="78BF7008" w14:textId="00C3B54E" w:rsidR="00C2247C" w:rsidRPr="004210B4" w:rsidRDefault="00E644F5" w:rsidP="00244649">
            <w:pPr>
              <w:spacing w:before="0"/>
              <w:rPr>
                <w:rFonts w:cs="Arial"/>
                <w:sz w:val="24"/>
              </w:rPr>
            </w:pPr>
            <w:r>
              <w:rPr>
                <w:rFonts w:cs="Arial"/>
                <w:sz w:val="24"/>
              </w:rPr>
              <w:t>2</w:t>
            </w:r>
            <w:r w:rsidR="00EC4F68">
              <w:rPr>
                <w:rFonts w:cs="Arial"/>
                <w:sz w:val="24"/>
              </w:rPr>
              <w:t>3</w:t>
            </w:r>
          </w:p>
        </w:tc>
      </w:tr>
      <w:tr w:rsidR="00C2247C" w:rsidRPr="004210B4" w14:paraId="6DBCD1A1" w14:textId="77777777" w:rsidTr="00244649">
        <w:tc>
          <w:tcPr>
            <w:tcW w:w="1100" w:type="dxa"/>
          </w:tcPr>
          <w:p w14:paraId="3B49A345" w14:textId="77777777" w:rsidR="00C2247C" w:rsidRPr="004210B4" w:rsidRDefault="00C2247C" w:rsidP="00244649">
            <w:pPr>
              <w:spacing w:before="0"/>
              <w:jc w:val="center"/>
              <w:rPr>
                <w:rFonts w:cs="Arial"/>
                <w:sz w:val="24"/>
              </w:rPr>
            </w:pPr>
            <w:r>
              <w:rPr>
                <w:rFonts w:cs="Arial"/>
                <w:sz w:val="24"/>
              </w:rPr>
              <w:t>3</w:t>
            </w:r>
          </w:p>
        </w:tc>
        <w:tc>
          <w:tcPr>
            <w:tcW w:w="6740" w:type="dxa"/>
            <w:gridSpan w:val="2"/>
          </w:tcPr>
          <w:p w14:paraId="13095BD8" w14:textId="77777777" w:rsidR="00C2247C" w:rsidRPr="004210B4" w:rsidRDefault="00C2247C" w:rsidP="00244649">
            <w:pPr>
              <w:spacing w:before="0"/>
              <w:jc w:val="left"/>
              <w:rPr>
                <w:rFonts w:cs="Arial"/>
                <w:sz w:val="24"/>
              </w:rPr>
            </w:pPr>
            <w:r>
              <w:rPr>
                <w:rFonts w:cs="Arial"/>
                <w:sz w:val="24"/>
              </w:rPr>
              <w:t>Identification of Stakeholders</w:t>
            </w:r>
          </w:p>
        </w:tc>
        <w:tc>
          <w:tcPr>
            <w:tcW w:w="1176" w:type="dxa"/>
          </w:tcPr>
          <w:p w14:paraId="691535C6" w14:textId="328E368A" w:rsidR="00C2247C" w:rsidRPr="004210B4" w:rsidRDefault="00E644F5" w:rsidP="00244649">
            <w:pPr>
              <w:spacing w:before="0"/>
              <w:rPr>
                <w:rFonts w:cs="Arial"/>
                <w:sz w:val="24"/>
              </w:rPr>
            </w:pPr>
            <w:r>
              <w:rPr>
                <w:rFonts w:cs="Arial"/>
                <w:sz w:val="24"/>
              </w:rPr>
              <w:t>2</w:t>
            </w:r>
            <w:r w:rsidR="00EC4F68">
              <w:rPr>
                <w:rFonts w:cs="Arial"/>
                <w:sz w:val="24"/>
              </w:rPr>
              <w:t>4</w:t>
            </w:r>
          </w:p>
        </w:tc>
      </w:tr>
      <w:tr w:rsidR="00C2247C" w:rsidRPr="004210B4" w14:paraId="0DEF1EE0" w14:textId="77777777" w:rsidTr="00244649">
        <w:tc>
          <w:tcPr>
            <w:tcW w:w="1100" w:type="dxa"/>
          </w:tcPr>
          <w:p w14:paraId="7FC3127C" w14:textId="77777777" w:rsidR="00C2247C" w:rsidRDefault="00C2247C" w:rsidP="00244649">
            <w:pPr>
              <w:spacing w:before="0"/>
              <w:jc w:val="center"/>
              <w:rPr>
                <w:rFonts w:cs="Arial"/>
                <w:sz w:val="24"/>
              </w:rPr>
            </w:pPr>
            <w:r>
              <w:rPr>
                <w:rFonts w:cs="Arial"/>
                <w:sz w:val="24"/>
              </w:rPr>
              <w:t xml:space="preserve">4 </w:t>
            </w:r>
          </w:p>
        </w:tc>
        <w:tc>
          <w:tcPr>
            <w:tcW w:w="6740" w:type="dxa"/>
            <w:gridSpan w:val="2"/>
          </w:tcPr>
          <w:p w14:paraId="79A908C4" w14:textId="77777777" w:rsidR="00C2247C" w:rsidRDefault="00C2247C" w:rsidP="00244649">
            <w:pPr>
              <w:spacing w:before="0"/>
              <w:jc w:val="left"/>
              <w:rPr>
                <w:rFonts w:cs="Arial"/>
                <w:sz w:val="24"/>
              </w:rPr>
            </w:pPr>
            <w:r>
              <w:rPr>
                <w:rFonts w:cs="Arial"/>
                <w:sz w:val="24"/>
              </w:rPr>
              <w:t>References, evidence base</w:t>
            </w:r>
          </w:p>
        </w:tc>
        <w:tc>
          <w:tcPr>
            <w:tcW w:w="1176" w:type="dxa"/>
          </w:tcPr>
          <w:p w14:paraId="64C252CB" w14:textId="6830274D" w:rsidR="00C2247C" w:rsidRPr="004210B4" w:rsidRDefault="00E644F5" w:rsidP="00244649">
            <w:pPr>
              <w:spacing w:before="0"/>
              <w:rPr>
                <w:rFonts w:cs="Arial"/>
                <w:sz w:val="24"/>
              </w:rPr>
            </w:pPr>
            <w:r>
              <w:rPr>
                <w:rFonts w:cs="Arial"/>
                <w:sz w:val="24"/>
              </w:rPr>
              <w:t>2</w:t>
            </w:r>
            <w:r w:rsidR="00EC4F68">
              <w:rPr>
                <w:rFonts w:cs="Arial"/>
                <w:sz w:val="24"/>
              </w:rPr>
              <w:t>4</w:t>
            </w:r>
          </w:p>
        </w:tc>
      </w:tr>
      <w:tr w:rsidR="00C2247C" w:rsidRPr="004210B4" w14:paraId="45B1016F" w14:textId="77777777" w:rsidTr="00244649">
        <w:tc>
          <w:tcPr>
            <w:tcW w:w="1100" w:type="dxa"/>
          </w:tcPr>
          <w:p w14:paraId="298024C9" w14:textId="77777777" w:rsidR="00C2247C" w:rsidRDefault="00C2247C" w:rsidP="00244649">
            <w:pPr>
              <w:spacing w:before="0"/>
              <w:jc w:val="center"/>
              <w:rPr>
                <w:rFonts w:cs="Arial"/>
                <w:sz w:val="24"/>
              </w:rPr>
            </w:pPr>
            <w:r>
              <w:rPr>
                <w:rFonts w:cs="Arial"/>
                <w:sz w:val="24"/>
              </w:rPr>
              <w:t>5</w:t>
            </w:r>
          </w:p>
        </w:tc>
        <w:tc>
          <w:tcPr>
            <w:tcW w:w="6740" w:type="dxa"/>
            <w:gridSpan w:val="2"/>
          </w:tcPr>
          <w:p w14:paraId="340FE958" w14:textId="77777777" w:rsidR="00C2247C" w:rsidRDefault="00C2247C" w:rsidP="00244649">
            <w:pPr>
              <w:spacing w:before="0"/>
              <w:jc w:val="left"/>
              <w:rPr>
                <w:rFonts w:cs="Arial"/>
                <w:sz w:val="24"/>
              </w:rPr>
            </w:pPr>
            <w:r>
              <w:rPr>
                <w:rFonts w:cs="Arial"/>
                <w:sz w:val="24"/>
              </w:rPr>
              <w:t xml:space="preserve">Associated Documentation </w:t>
            </w:r>
          </w:p>
        </w:tc>
        <w:tc>
          <w:tcPr>
            <w:tcW w:w="1176" w:type="dxa"/>
          </w:tcPr>
          <w:p w14:paraId="6177A2E4" w14:textId="75DB73AB" w:rsidR="00C2247C" w:rsidRPr="004210B4" w:rsidRDefault="00E644F5" w:rsidP="00244649">
            <w:pPr>
              <w:spacing w:before="0"/>
              <w:rPr>
                <w:rFonts w:cs="Arial"/>
                <w:sz w:val="24"/>
              </w:rPr>
            </w:pPr>
            <w:r>
              <w:rPr>
                <w:rFonts w:cs="Arial"/>
                <w:sz w:val="24"/>
              </w:rPr>
              <w:t>2</w:t>
            </w:r>
            <w:r w:rsidR="00A13521">
              <w:rPr>
                <w:rFonts w:cs="Arial"/>
                <w:sz w:val="24"/>
              </w:rPr>
              <w:t>5</w:t>
            </w:r>
          </w:p>
        </w:tc>
      </w:tr>
      <w:tr w:rsidR="00C2247C" w:rsidRPr="004210B4" w14:paraId="65B74084" w14:textId="77777777" w:rsidTr="00244649">
        <w:tc>
          <w:tcPr>
            <w:tcW w:w="1100" w:type="dxa"/>
          </w:tcPr>
          <w:p w14:paraId="3290DBC9" w14:textId="77777777" w:rsidR="00C2247C" w:rsidRDefault="00C2247C" w:rsidP="00244649">
            <w:pPr>
              <w:spacing w:before="0"/>
              <w:jc w:val="center"/>
              <w:rPr>
                <w:rFonts w:cs="Arial"/>
                <w:sz w:val="24"/>
              </w:rPr>
            </w:pPr>
            <w:r>
              <w:rPr>
                <w:rFonts w:cs="Arial"/>
                <w:sz w:val="24"/>
              </w:rPr>
              <w:t>6</w:t>
            </w:r>
          </w:p>
        </w:tc>
        <w:tc>
          <w:tcPr>
            <w:tcW w:w="6740" w:type="dxa"/>
            <w:gridSpan w:val="2"/>
          </w:tcPr>
          <w:p w14:paraId="7A4C8D66" w14:textId="77777777" w:rsidR="00C2247C" w:rsidRDefault="00C2247C" w:rsidP="00244649">
            <w:pPr>
              <w:spacing w:before="0"/>
              <w:jc w:val="left"/>
              <w:rPr>
                <w:rFonts w:cs="Arial"/>
                <w:sz w:val="24"/>
              </w:rPr>
            </w:pPr>
            <w:r w:rsidRPr="00BD50BE">
              <w:rPr>
                <w:rFonts w:cs="Arial"/>
                <w:sz w:val="24"/>
              </w:rPr>
              <w:t>Standards/Key Performance Indicators</w:t>
            </w:r>
          </w:p>
        </w:tc>
        <w:tc>
          <w:tcPr>
            <w:tcW w:w="1176" w:type="dxa"/>
          </w:tcPr>
          <w:p w14:paraId="65D98B06" w14:textId="0E99E6F4" w:rsidR="00C2247C" w:rsidRPr="004210B4" w:rsidRDefault="00E644F5" w:rsidP="00244649">
            <w:pPr>
              <w:spacing w:before="0"/>
              <w:rPr>
                <w:rFonts w:cs="Arial"/>
                <w:sz w:val="24"/>
              </w:rPr>
            </w:pPr>
            <w:r>
              <w:rPr>
                <w:rFonts w:cs="Arial"/>
                <w:sz w:val="24"/>
              </w:rPr>
              <w:t>2</w:t>
            </w:r>
            <w:r w:rsidR="00A13521">
              <w:rPr>
                <w:rFonts w:cs="Arial"/>
                <w:sz w:val="24"/>
              </w:rPr>
              <w:t>5</w:t>
            </w:r>
          </w:p>
        </w:tc>
      </w:tr>
      <w:tr w:rsidR="00C2247C" w:rsidRPr="004210B4" w14:paraId="44FA9829" w14:textId="77777777" w:rsidTr="00244649">
        <w:tc>
          <w:tcPr>
            <w:tcW w:w="1100" w:type="dxa"/>
          </w:tcPr>
          <w:p w14:paraId="4232F1E7" w14:textId="77777777" w:rsidR="00C2247C" w:rsidRDefault="00C2247C" w:rsidP="00244649">
            <w:pPr>
              <w:spacing w:before="0"/>
              <w:jc w:val="center"/>
              <w:rPr>
                <w:rFonts w:cs="Arial"/>
                <w:sz w:val="24"/>
              </w:rPr>
            </w:pPr>
            <w:r>
              <w:rPr>
                <w:rFonts w:cs="Arial"/>
                <w:sz w:val="24"/>
              </w:rPr>
              <w:t>7</w:t>
            </w:r>
          </w:p>
        </w:tc>
        <w:tc>
          <w:tcPr>
            <w:tcW w:w="6740" w:type="dxa"/>
            <w:gridSpan w:val="2"/>
          </w:tcPr>
          <w:p w14:paraId="3776FE9D" w14:textId="77777777" w:rsidR="00C2247C" w:rsidRPr="00BD50BE" w:rsidRDefault="00C2247C" w:rsidP="00244649">
            <w:pPr>
              <w:spacing w:before="0"/>
              <w:jc w:val="left"/>
              <w:rPr>
                <w:rFonts w:cs="Arial"/>
                <w:sz w:val="24"/>
              </w:rPr>
            </w:pPr>
            <w:r>
              <w:rPr>
                <w:rFonts w:cs="Arial"/>
                <w:sz w:val="24"/>
              </w:rPr>
              <w:t xml:space="preserve">Equality Impact </w:t>
            </w:r>
          </w:p>
        </w:tc>
        <w:tc>
          <w:tcPr>
            <w:tcW w:w="1176" w:type="dxa"/>
          </w:tcPr>
          <w:p w14:paraId="6B12A2C0" w14:textId="13F62BD6" w:rsidR="00C2247C" w:rsidRPr="004210B4" w:rsidRDefault="00E644F5" w:rsidP="00244649">
            <w:pPr>
              <w:spacing w:before="0"/>
              <w:rPr>
                <w:rFonts w:cs="Arial"/>
                <w:sz w:val="24"/>
              </w:rPr>
            </w:pPr>
            <w:r>
              <w:rPr>
                <w:rFonts w:cs="Arial"/>
                <w:sz w:val="24"/>
              </w:rPr>
              <w:t>2</w:t>
            </w:r>
            <w:r w:rsidR="00A13521">
              <w:rPr>
                <w:rFonts w:cs="Arial"/>
                <w:sz w:val="24"/>
              </w:rPr>
              <w:t>5</w:t>
            </w:r>
          </w:p>
        </w:tc>
      </w:tr>
    </w:tbl>
    <w:p w14:paraId="010CBD99" w14:textId="2CEE2B0C" w:rsidR="00D15B29" w:rsidRPr="00C2247C" w:rsidRDefault="00C2247C">
      <w:pPr>
        <w:spacing w:before="0" w:line="276" w:lineRule="auto"/>
        <w:jc w:val="left"/>
        <w:rPr>
          <w:rFonts w:eastAsiaTheme="majorEastAsia" w:cs="Arial"/>
          <w:b/>
          <w:iCs/>
          <w:sz w:val="24"/>
        </w:rPr>
      </w:pPr>
      <w:r w:rsidRPr="00C2247C">
        <w:rPr>
          <w:rFonts w:cs="Arial"/>
          <w:b/>
          <w:i/>
          <w:sz w:val="24"/>
        </w:rPr>
        <w:t xml:space="preserve"> </w:t>
      </w:r>
      <w:r w:rsidR="00D15B29" w:rsidRPr="00C2247C">
        <w:rPr>
          <w:rFonts w:cs="Arial"/>
          <w:b/>
          <w:i/>
          <w:sz w:val="24"/>
        </w:rPr>
        <w:br w:type="page"/>
      </w:r>
    </w:p>
    <w:p w14:paraId="010CBD9A" w14:textId="77777777" w:rsidR="007132DB" w:rsidRPr="00C2247C" w:rsidRDefault="00BE0900" w:rsidP="00235F49">
      <w:pPr>
        <w:spacing w:before="0" w:after="0"/>
        <w:rPr>
          <w:rFonts w:cs="Arial"/>
          <w:b/>
          <w:sz w:val="24"/>
        </w:rPr>
      </w:pPr>
      <w:r w:rsidRPr="00C2247C">
        <w:rPr>
          <w:rFonts w:cs="Arial"/>
          <w:b/>
          <w:sz w:val="24"/>
        </w:rPr>
        <w:lastRenderedPageBreak/>
        <w:t>1</w:t>
      </w:r>
      <w:r w:rsidR="00250BC4" w:rsidRPr="00C2247C">
        <w:rPr>
          <w:rFonts w:cs="Arial"/>
          <w:b/>
          <w:sz w:val="24"/>
        </w:rPr>
        <w:t>.</w:t>
      </w:r>
      <w:r w:rsidR="00235F49" w:rsidRPr="00C2247C">
        <w:rPr>
          <w:rFonts w:cs="Arial"/>
          <w:sz w:val="24"/>
        </w:rPr>
        <w:tab/>
      </w:r>
      <w:r w:rsidR="007132DB" w:rsidRPr="00C2247C">
        <w:rPr>
          <w:rFonts w:cs="Arial"/>
          <w:b/>
          <w:sz w:val="24"/>
        </w:rPr>
        <w:t>THE PROCEDURE</w:t>
      </w:r>
    </w:p>
    <w:p w14:paraId="010CBD9B" w14:textId="77777777" w:rsidR="007132DB" w:rsidRPr="00C2247C" w:rsidRDefault="007132DB" w:rsidP="007132DB">
      <w:pPr>
        <w:pStyle w:val="ListParagraph"/>
        <w:spacing w:before="0" w:after="0"/>
        <w:rPr>
          <w:rFonts w:cs="Arial"/>
          <w:b/>
          <w:bCs/>
          <w:iCs/>
          <w:sz w:val="24"/>
        </w:rPr>
      </w:pPr>
    </w:p>
    <w:p w14:paraId="010CBD9C" w14:textId="77777777" w:rsidR="00D631F6" w:rsidRPr="00C2247C" w:rsidRDefault="00DE2BF8" w:rsidP="008168F1">
      <w:pPr>
        <w:pStyle w:val="ListParagraph"/>
        <w:numPr>
          <w:ilvl w:val="1"/>
          <w:numId w:val="5"/>
        </w:numPr>
        <w:spacing w:before="0" w:after="0"/>
        <w:rPr>
          <w:rFonts w:cs="Arial"/>
          <w:b/>
          <w:bCs/>
          <w:iCs/>
          <w:sz w:val="24"/>
        </w:rPr>
      </w:pPr>
      <w:r w:rsidRPr="00C2247C">
        <w:rPr>
          <w:rFonts w:cs="Arial"/>
          <w:b/>
          <w:bCs/>
          <w:iCs/>
          <w:sz w:val="24"/>
        </w:rPr>
        <w:t>Introduction</w:t>
      </w:r>
    </w:p>
    <w:p w14:paraId="010CBD9D" w14:textId="77777777" w:rsidR="00DE2BF8" w:rsidRPr="00C2247C" w:rsidRDefault="00DE2BF8" w:rsidP="00DE2BF8">
      <w:pPr>
        <w:pStyle w:val="ListParagraph"/>
        <w:spacing w:before="0" w:after="0"/>
        <w:rPr>
          <w:rFonts w:cs="Arial"/>
          <w:sz w:val="24"/>
        </w:rPr>
      </w:pPr>
    </w:p>
    <w:p w14:paraId="62501238" w14:textId="77777777" w:rsidR="00CB713C" w:rsidRPr="00C2247C" w:rsidRDefault="00CB713C" w:rsidP="00CB713C">
      <w:pPr>
        <w:spacing w:before="0" w:after="0"/>
        <w:rPr>
          <w:rFonts w:cs="Arial"/>
          <w:noProof/>
          <w:sz w:val="24"/>
        </w:rPr>
      </w:pPr>
      <w:r w:rsidRPr="00C2247C">
        <w:rPr>
          <w:rFonts w:cs="Arial"/>
          <w:noProof/>
          <w:sz w:val="24"/>
        </w:rPr>
        <w:t>Most people will be in receipt of care from the NHS at the time of their death and experience excellent care from the NHS for the weeks, months and years leading up to their death. However, for some people, the experience is different and they experience poor quality provision for a number of reasons including system failure.</w:t>
      </w:r>
    </w:p>
    <w:p w14:paraId="34D7CBEE" w14:textId="77777777" w:rsidR="00CB713C" w:rsidRPr="00C2247C" w:rsidRDefault="00CB713C" w:rsidP="00CB713C">
      <w:pPr>
        <w:spacing w:before="0" w:after="0"/>
        <w:rPr>
          <w:rFonts w:cs="Arial"/>
          <w:noProof/>
          <w:sz w:val="24"/>
        </w:rPr>
      </w:pPr>
    </w:p>
    <w:p w14:paraId="55B73E47" w14:textId="1ACBFF06" w:rsidR="00CB713C" w:rsidRPr="00C2247C" w:rsidRDefault="00CB713C" w:rsidP="00CB713C">
      <w:pPr>
        <w:spacing w:before="0" w:after="0"/>
        <w:rPr>
          <w:rFonts w:cs="Arial"/>
          <w:noProof/>
          <w:sz w:val="24"/>
        </w:rPr>
      </w:pPr>
      <w:r w:rsidRPr="00825962">
        <w:rPr>
          <w:rFonts w:cs="Arial"/>
          <w:noProof/>
          <w:sz w:val="24"/>
        </w:rPr>
        <w:t>Learning from deaths is an essential part of quality improvement. It is the right thing to do</w:t>
      </w:r>
      <w:r w:rsidR="00525380">
        <w:rPr>
          <w:rFonts w:cs="Arial"/>
          <w:noProof/>
          <w:sz w:val="24"/>
        </w:rPr>
        <w:t>,</w:t>
      </w:r>
      <w:r w:rsidRPr="00825962">
        <w:rPr>
          <w:rFonts w:cs="Arial"/>
          <w:noProof/>
          <w:sz w:val="24"/>
        </w:rPr>
        <w:t xml:space="preserve"> to review and investigate deaths where care and service delivery problems occurred so that we can learn and prevent recurrence.</w:t>
      </w:r>
      <w:r w:rsidRPr="00C2247C">
        <w:rPr>
          <w:rFonts w:cs="Arial"/>
          <w:noProof/>
          <w:sz w:val="24"/>
        </w:rPr>
        <w:t xml:space="preserve"> </w:t>
      </w:r>
    </w:p>
    <w:p w14:paraId="71DD1B4E" w14:textId="77777777" w:rsidR="00CB713C" w:rsidRPr="00C2247C" w:rsidRDefault="00CB713C" w:rsidP="00CB713C">
      <w:pPr>
        <w:spacing w:before="0" w:after="0"/>
        <w:rPr>
          <w:rFonts w:cs="Arial"/>
          <w:noProof/>
          <w:sz w:val="24"/>
        </w:rPr>
      </w:pPr>
    </w:p>
    <w:p w14:paraId="5364E29D" w14:textId="1877B326" w:rsidR="00CB713C" w:rsidRPr="00C2247C" w:rsidRDefault="00CB713C" w:rsidP="00CB713C">
      <w:pPr>
        <w:spacing w:before="0" w:after="0"/>
        <w:rPr>
          <w:rFonts w:cs="Arial"/>
          <w:noProof/>
          <w:sz w:val="24"/>
        </w:rPr>
      </w:pPr>
      <w:r w:rsidRPr="00C2247C">
        <w:rPr>
          <w:rFonts w:cs="Arial"/>
          <w:noProof/>
          <w:sz w:val="24"/>
        </w:rPr>
        <w:t>This policy is in line with the Trust values:</w:t>
      </w:r>
    </w:p>
    <w:p w14:paraId="43206C35" w14:textId="67D7C5CD" w:rsidR="00505D6D" w:rsidRPr="00C2247C" w:rsidRDefault="00505D6D" w:rsidP="008168F1">
      <w:pPr>
        <w:pStyle w:val="ListParagraph"/>
        <w:numPr>
          <w:ilvl w:val="0"/>
          <w:numId w:val="19"/>
        </w:numPr>
        <w:spacing w:before="0" w:after="0"/>
        <w:rPr>
          <w:rFonts w:cs="Arial"/>
          <w:noProof/>
          <w:sz w:val="24"/>
        </w:rPr>
      </w:pPr>
      <w:r w:rsidRPr="00C2247C">
        <w:rPr>
          <w:rFonts w:cs="Arial"/>
          <w:noProof/>
          <w:sz w:val="24"/>
        </w:rPr>
        <w:t>We have integrity – we treat everyone with respect and dignity, honour our commitments and do our best for our service users and colleagues.</w:t>
      </w:r>
    </w:p>
    <w:p w14:paraId="5BCC4361" w14:textId="1F035AEE" w:rsidR="00505D6D" w:rsidRPr="00C2247C" w:rsidRDefault="00505D6D" w:rsidP="008168F1">
      <w:pPr>
        <w:pStyle w:val="ListParagraph"/>
        <w:numPr>
          <w:ilvl w:val="0"/>
          <w:numId w:val="19"/>
        </w:numPr>
        <w:spacing w:before="0" w:after="0"/>
        <w:rPr>
          <w:rFonts w:cs="Arial"/>
          <w:noProof/>
          <w:sz w:val="24"/>
        </w:rPr>
      </w:pPr>
      <w:r w:rsidRPr="00C2247C">
        <w:rPr>
          <w:rFonts w:cs="Arial"/>
          <w:noProof/>
          <w:sz w:val="24"/>
        </w:rPr>
        <w:t>We keep it simple – we make it easy for the communities we serve and the people who work her</w:t>
      </w:r>
      <w:r w:rsidR="00525380">
        <w:rPr>
          <w:rFonts w:cs="Arial"/>
          <w:noProof/>
          <w:sz w:val="24"/>
        </w:rPr>
        <w:t>e</w:t>
      </w:r>
      <w:r w:rsidRPr="00C2247C">
        <w:rPr>
          <w:rFonts w:cs="Arial"/>
          <w:noProof/>
          <w:sz w:val="24"/>
        </w:rPr>
        <w:t xml:space="preserve"> to achieve their goals.</w:t>
      </w:r>
    </w:p>
    <w:p w14:paraId="1C591B9D" w14:textId="143E17D3" w:rsidR="00505D6D" w:rsidRPr="00C2247C" w:rsidRDefault="00505D6D" w:rsidP="008168F1">
      <w:pPr>
        <w:pStyle w:val="ListParagraph"/>
        <w:numPr>
          <w:ilvl w:val="0"/>
          <w:numId w:val="19"/>
        </w:numPr>
        <w:spacing w:before="0" w:after="0"/>
        <w:rPr>
          <w:rFonts w:cs="Arial"/>
          <w:noProof/>
          <w:sz w:val="24"/>
        </w:rPr>
      </w:pPr>
      <w:r w:rsidRPr="00C2247C">
        <w:rPr>
          <w:rFonts w:cs="Arial"/>
          <w:noProof/>
          <w:sz w:val="24"/>
        </w:rPr>
        <w:t xml:space="preserve">We are caring – we always show empathy and support those in need. </w:t>
      </w:r>
    </w:p>
    <w:p w14:paraId="5FBCD61C" w14:textId="77777777" w:rsidR="00505D6D" w:rsidRPr="00C2247C" w:rsidRDefault="00505D6D" w:rsidP="00CB713C">
      <w:pPr>
        <w:spacing w:before="0" w:after="0"/>
        <w:rPr>
          <w:rFonts w:cs="Arial"/>
          <w:noProof/>
          <w:sz w:val="24"/>
        </w:rPr>
      </w:pPr>
    </w:p>
    <w:p w14:paraId="60568836" w14:textId="77777777" w:rsidR="00CB713C" w:rsidRPr="00C2247C" w:rsidRDefault="00CB713C" w:rsidP="00CB713C">
      <w:pPr>
        <w:spacing w:before="0" w:after="0"/>
        <w:rPr>
          <w:rFonts w:cs="Arial"/>
          <w:noProof/>
          <w:sz w:val="24"/>
        </w:rPr>
      </w:pPr>
      <w:r w:rsidRPr="00C2247C">
        <w:rPr>
          <w:rFonts w:cs="Arial"/>
          <w:noProof/>
          <w:sz w:val="24"/>
        </w:rPr>
        <w:t>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w:t>
      </w:r>
    </w:p>
    <w:p w14:paraId="72B45E06" w14:textId="77777777" w:rsidR="00CB713C" w:rsidRPr="00C2247C" w:rsidRDefault="00CB713C" w:rsidP="00CB713C">
      <w:pPr>
        <w:spacing w:before="0" w:after="0"/>
        <w:rPr>
          <w:rFonts w:cs="Arial"/>
          <w:noProof/>
          <w:sz w:val="24"/>
        </w:rPr>
      </w:pPr>
    </w:p>
    <w:p w14:paraId="0C88074A" w14:textId="77777777" w:rsidR="00CB713C" w:rsidRPr="00C2247C" w:rsidRDefault="00CB713C" w:rsidP="00CB713C">
      <w:pPr>
        <w:spacing w:before="0" w:after="0"/>
        <w:rPr>
          <w:rFonts w:cs="Arial"/>
          <w:noProof/>
          <w:sz w:val="24"/>
        </w:rPr>
      </w:pPr>
      <w:r w:rsidRPr="00C2247C">
        <w:rPr>
          <w:rFonts w:cs="Arial"/>
          <w:noProof/>
          <w:sz w:val="24"/>
        </w:rPr>
        <w:t>The Confidential Inquiry into premature deaths of people with learning disabilities showed a very similar picture in terms of early deaths.</w:t>
      </w:r>
    </w:p>
    <w:p w14:paraId="598C6624" w14:textId="77777777" w:rsidR="00CB713C" w:rsidRPr="00C2247C" w:rsidRDefault="00CB713C" w:rsidP="00CB713C">
      <w:pPr>
        <w:spacing w:before="0" w:after="0"/>
        <w:rPr>
          <w:rFonts w:cs="Arial"/>
          <w:noProof/>
          <w:sz w:val="24"/>
        </w:rPr>
      </w:pPr>
    </w:p>
    <w:p w14:paraId="7A375F1F" w14:textId="5EC41674" w:rsidR="00CB713C" w:rsidRPr="00C2247C" w:rsidRDefault="00CB713C" w:rsidP="00CB713C">
      <w:pPr>
        <w:spacing w:before="0" w:after="0"/>
        <w:rPr>
          <w:rFonts w:cs="Arial"/>
          <w:noProof/>
          <w:sz w:val="24"/>
        </w:rPr>
      </w:pPr>
      <w:r w:rsidRPr="00C2247C">
        <w:rPr>
          <w:rFonts w:cs="Arial"/>
          <w:noProof/>
          <w:sz w:val="24"/>
        </w:rPr>
        <w:t xml:space="preserve">We will make it a priority to work more closely with families and carers of patients who have died and to ensure meaningful support and engagement with them at all stages, from the notification of the death of their family member through to actions taken following on from any investigation in line with the National Quality Board guidance on supporting bereaved families. </w:t>
      </w:r>
    </w:p>
    <w:p w14:paraId="787D5554" w14:textId="77777777" w:rsidR="00CB713C" w:rsidRPr="00C2247C" w:rsidRDefault="00CB713C" w:rsidP="00CB713C">
      <w:pPr>
        <w:spacing w:before="0" w:after="0"/>
        <w:rPr>
          <w:rFonts w:cs="Arial"/>
          <w:noProof/>
          <w:sz w:val="24"/>
        </w:rPr>
      </w:pPr>
    </w:p>
    <w:p w14:paraId="7B3F801B" w14:textId="239E509C" w:rsidR="00CB713C" w:rsidRPr="00C2247C" w:rsidRDefault="00CB713C" w:rsidP="00CB713C">
      <w:pPr>
        <w:spacing w:before="0" w:after="0"/>
        <w:rPr>
          <w:rFonts w:cs="Arial"/>
          <w:noProof/>
          <w:sz w:val="24"/>
        </w:rPr>
      </w:pPr>
      <w:r w:rsidRPr="00C2247C">
        <w:rPr>
          <w:rFonts w:cs="Arial"/>
          <w:noProof/>
          <w:sz w:val="24"/>
        </w:rPr>
        <w:t>A report by independent auditors</w:t>
      </w:r>
      <w:r w:rsidR="00525380">
        <w:rPr>
          <w:rFonts w:cs="Arial"/>
          <w:noProof/>
          <w:sz w:val="24"/>
        </w:rPr>
        <w:t>,</w:t>
      </w:r>
      <w:r w:rsidRPr="00C2247C">
        <w:rPr>
          <w:rFonts w:cs="Arial"/>
          <w:noProof/>
          <w:sz w:val="24"/>
        </w:rPr>
        <w:t xml:space="preserve"> Mazars, commissioned by NHS England was published in December 2015. It commented on services run by Southern Health NHS Foundation Trust.</w:t>
      </w:r>
    </w:p>
    <w:p w14:paraId="4E22911B" w14:textId="77777777" w:rsidR="00CB713C" w:rsidRPr="00C2247C" w:rsidRDefault="00CB713C" w:rsidP="00CB713C">
      <w:pPr>
        <w:spacing w:before="0" w:after="0"/>
        <w:rPr>
          <w:rFonts w:cs="Arial"/>
          <w:noProof/>
          <w:sz w:val="24"/>
        </w:rPr>
      </w:pPr>
      <w:r w:rsidRPr="00C2247C">
        <w:rPr>
          <w:rFonts w:cs="Arial"/>
          <w:noProof/>
          <w:sz w:val="24"/>
        </w:rPr>
        <w:t xml:space="preserve">The report found:- </w:t>
      </w:r>
    </w:p>
    <w:p w14:paraId="1F25980B" w14:textId="3D86226C" w:rsidR="00CB713C" w:rsidRPr="00C2247C" w:rsidRDefault="00505D6D" w:rsidP="008168F1">
      <w:pPr>
        <w:pStyle w:val="ListParagraph"/>
        <w:numPr>
          <w:ilvl w:val="0"/>
          <w:numId w:val="20"/>
        </w:numPr>
        <w:spacing w:before="0" w:after="0"/>
        <w:rPr>
          <w:rFonts w:cs="Arial"/>
          <w:noProof/>
          <w:sz w:val="24"/>
        </w:rPr>
      </w:pPr>
      <w:r w:rsidRPr="00C2247C">
        <w:rPr>
          <w:rFonts w:cs="Arial"/>
          <w:noProof/>
          <w:sz w:val="24"/>
        </w:rPr>
        <w:t>F</w:t>
      </w:r>
      <w:r w:rsidR="00CB713C" w:rsidRPr="00C2247C">
        <w:rPr>
          <w:rFonts w:cs="Arial"/>
          <w:noProof/>
          <w:sz w:val="24"/>
        </w:rPr>
        <w:t>ailings in the way the Trust investigated serious incidents.</w:t>
      </w:r>
    </w:p>
    <w:p w14:paraId="0046B2AB" w14:textId="7617D02F" w:rsidR="00CB713C" w:rsidRPr="00C2247C" w:rsidRDefault="00CB713C" w:rsidP="008168F1">
      <w:pPr>
        <w:pStyle w:val="ListParagraph"/>
        <w:numPr>
          <w:ilvl w:val="0"/>
          <w:numId w:val="20"/>
        </w:numPr>
        <w:spacing w:before="0" w:after="0"/>
        <w:rPr>
          <w:rFonts w:cs="Arial"/>
          <w:noProof/>
          <w:sz w:val="24"/>
        </w:rPr>
      </w:pPr>
      <w:r w:rsidRPr="00C2247C">
        <w:rPr>
          <w:rFonts w:cs="Arial"/>
          <w:noProof/>
          <w:sz w:val="24"/>
        </w:rPr>
        <w:t>Too few deaths were investigated and some should have been investigated further.</w:t>
      </w:r>
    </w:p>
    <w:p w14:paraId="33410757" w14:textId="0B873CCD" w:rsidR="00CB713C" w:rsidRPr="00C2247C" w:rsidRDefault="00CB713C" w:rsidP="008168F1">
      <w:pPr>
        <w:pStyle w:val="ListParagraph"/>
        <w:numPr>
          <w:ilvl w:val="0"/>
          <w:numId w:val="20"/>
        </w:numPr>
        <w:spacing w:before="0" w:after="0"/>
        <w:rPr>
          <w:rFonts w:cs="Arial"/>
          <w:noProof/>
          <w:sz w:val="24"/>
        </w:rPr>
      </w:pPr>
      <w:r w:rsidRPr="00C2247C">
        <w:rPr>
          <w:rFonts w:cs="Arial"/>
          <w:noProof/>
          <w:sz w:val="24"/>
        </w:rPr>
        <w:t>The Trust could not demonstrate a comprehensive systematic approach to learning from deaths</w:t>
      </w:r>
      <w:r w:rsidR="00525380">
        <w:rPr>
          <w:rFonts w:cs="Arial"/>
          <w:noProof/>
          <w:sz w:val="24"/>
        </w:rPr>
        <w:t>.</w:t>
      </w:r>
    </w:p>
    <w:p w14:paraId="60C35771" w14:textId="77777777" w:rsidR="00CB713C" w:rsidRPr="00C2247C" w:rsidRDefault="00CB713C" w:rsidP="00CB713C">
      <w:pPr>
        <w:spacing w:before="0" w:after="0"/>
        <w:rPr>
          <w:rFonts w:cs="Arial"/>
          <w:noProof/>
          <w:sz w:val="24"/>
        </w:rPr>
      </w:pPr>
    </w:p>
    <w:p w14:paraId="40FE732D" w14:textId="40C28A48" w:rsidR="00CB713C" w:rsidRPr="00C2247C" w:rsidRDefault="00CB713C" w:rsidP="00CB713C">
      <w:pPr>
        <w:spacing w:before="0" w:after="0"/>
        <w:rPr>
          <w:rFonts w:cs="Arial"/>
          <w:noProof/>
          <w:sz w:val="24"/>
        </w:rPr>
      </w:pPr>
      <w:r w:rsidRPr="00C2247C">
        <w:rPr>
          <w:rFonts w:cs="Arial"/>
          <w:noProof/>
          <w:sz w:val="24"/>
        </w:rPr>
        <w:t xml:space="preserve">These findings were reinforced in the Care Quality Commission (CQC) report </w:t>
      </w:r>
      <w:r w:rsidR="00525380">
        <w:rPr>
          <w:rFonts w:cs="Arial"/>
          <w:noProof/>
          <w:sz w:val="24"/>
        </w:rPr>
        <w:t>“</w:t>
      </w:r>
      <w:r w:rsidRPr="00C2247C">
        <w:rPr>
          <w:rFonts w:cs="Arial"/>
          <w:noProof/>
          <w:sz w:val="24"/>
        </w:rPr>
        <w:t>Learning, candour and accountability</w:t>
      </w:r>
      <w:r w:rsidR="00525380">
        <w:rPr>
          <w:rFonts w:cs="Arial"/>
          <w:noProof/>
          <w:sz w:val="24"/>
        </w:rPr>
        <w:t xml:space="preserve">.” </w:t>
      </w:r>
      <w:r w:rsidRPr="00C2247C">
        <w:rPr>
          <w:rFonts w:cs="Arial"/>
          <w:noProof/>
          <w:sz w:val="24"/>
        </w:rPr>
        <w:t xml:space="preserve">It revealed that in some organisations learning from deaths was not being given sufficient priority and that valuable opportunities for improvements were being missed.  Importantly the CQC also point out that there is </w:t>
      </w:r>
      <w:r w:rsidRPr="00C2247C">
        <w:rPr>
          <w:rFonts w:cs="Arial"/>
          <w:noProof/>
          <w:sz w:val="24"/>
        </w:rPr>
        <w:lastRenderedPageBreak/>
        <w:t xml:space="preserve">much more we can do to engage families and carers, and recognising their insights and experiences is vital to our learning. </w:t>
      </w:r>
    </w:p>
    <w:p w14:paraId="7C95591D" w14:textId="77777777" w:rsidR="00CB713C" w:rsidRPr="00C2247C" w:rsidRDefault="00CB713C" w:rsidP="00CB713C">
      <w:pPr>
        <w:spacing w:before="0" w:after="0"/>
        <w:rPr>
          <w:rFonts w:cs="Arial"/>
          <w:noProof/>
          <w:sz w:val="24"/>
        </w:rPr>
      </w:pPr>
    </w:p>
    <w:p w14:paraId="0888B097" w14:textId="77777777" w:rsidR="00CB713C" w:rsidRPr="00C2247C" w:rsidRDefault="00CB713C" w:rsidP="00CB713C">
      <w:pPr>
        <w:spacing w:before="0" w:after="0"/>
        <w:rPr>
          <w:rFonts w:cs="Arial"/>
          <w:noProof/>
          <w:sz w:val="24"/>
        </w:rPr>
      </w:pPr>
      <w:r w:rsidRPr="00C2247C">
        <w:rPr>
          <w:rFonts w:cs="Arial"/>
          <w:noProof/>
          <w:sz w:val="24"/>
        </w:rPr>
        <w:t xml:space="preserve">The National Quality Board (NQB) guidance on Learning from Deaths  was the starting point to initiate a standardised approach to the way NHS Trusts report, review, investigate and learn from patient deaths, which should lead to better quality investigations and more embedded learning. These reviews will provide the Trust with valuable information in deciding how Executive Teams and Boards can use these findings. </w:t>
      </w:r>
    </w:p>
    <w:p w14:paraId="7EEB387D" w14:textId="77777777" w:rsidR="00CB713C" w:rsidRPr="00C2247C" w:rsidRDefault="00CB713C" w:rsidP="00CB713C">
      <w:pPr>
        <w:spacing w:before="0" w:after="0"/>
        <w:rPr>
          <w:rFonts w:cs="Arial"/>
          <w:noProof/>
          <w:sz w:val="24"/>
        </w:rPr>
      </w:pPr>
    </w:p>
    <w:p w14:paraId="1BAEB784" w14:textId="1C7B6D9D" w:rsidR="00CB713C" w:rsidRPr="00C2247C" w:rsidRDefault="00CB713C" w:rsidP="00CB713C">
      <w:pPr>
        <w:spacing w:before="0" w:after="0"/>
        <w:rPr>
          <w:rFonts w:cs="Arial"/>
          <w:noProof/>
          <w:sz w:val="24"/>
        </w:rPr>
      </w:pPr>
      <w:r w:rsidRPr="00C2247C">
        <w:rPr>
          <w:rFonts w:cs="Arial"/>
          <w:noProof/>
          <w:sz w:val="24"/>
        </w:rPr>
        <w:t xml:space="preserve">This policy sets out the principles that guide our work and how we will implement them. </w:t>
      </w:r>
    </w:p>
    <w:p w14:paraId="18C31467" w14:textId="77777777" w:rsidR="00CB713C" w:rsidRPr="00C2247C" w:rsidRDefault="00CB713C" w:rsidP="00CB713C">
      <w:pPr>
        <w:spacing w:before="0" w:after="0"/>
        <w:rPr>
          <w:rFonts w:cs="Arial"/>
          <w:noProof/>
          <w:sz w:val="24"/>
        </w:rPr>
      </w:pPr>
    </w:p>
    <w:p w14:paraId="0EF277E8" w14:textId="4C92B845" w:rsidR="00CB713C" w:rsidRPr="00C2247C" w:rsidRDefault="00CB713C" w:rsidP="00CB713C">
      <w:pPr>
        <w:spacing w:before="0" w:after="0"/>
        <w:rPr>
          <w:rFonts w:cs="Arial"/>
          <w:noProof/>
          <w:sz w:val="24"/>
        </w:rPr>
      </w:pPr>
      <w:r w:rsidRPr="00C2247C">
        <w:rPr>
          <w:rFonts w:cs="Arial"/>
          <w:noProof/>
          <w:sz w:val="24"/>
        </w:rPr>
        <w:t>Leeds and York Partnership NHS Foundation Trust is the main provider of specialist mental health and learning disability services in Leeds. We also provide specialist services across York, the Yorkshire and Humber region, and some highly specialised national services.</w:t>
      </w:r>
    </w:p>
    <w:p w14:paraId="06EEB383" w14:textId="77777777" w:rsidR="00CB713C" w:rsidRPr="00C2247C" w:rsidRDefault="00CB713C" w:rsidP="00CB713C">
      <w:pPr>
        <w:spacing w:before="0" w:after="0"/>
        <w:rPr>
          <w:rFonts w:cs="Arial"/>
          <w:noProof/>
          <w:sz w:val="24"/>
        </w:rPr>
      </w:pPr>
      <w:r w:rsidRPr="00C2247C">
        <w:rPr>
          <w:rFonts w:cs="Arial"/>
          <w:noProof/>
          <w:sz w:val="24"/>
        </w:rPr>
        <w:t xml:space="preserve"> </w:t>
      </w:r>
    </w:p>
    <w:p w14:paraId="7972263B" w14:textId="77777777" w:rsidR="00505D6D" w:rsidRPr="00A35984" w:rsidRDefault="00CB713C" w:rsidP="00505D6D">
      <w:pPr>
        <w:spacing w:before="0" w:after="0"/>
        <w:rPr>
          <w:rFonts w:cs="Arial"/>
          <w:noProof/>
          <w:sz w:val="24"/>
        </w:rPr>
      </w:pPr>
      <w:r w:rsidRPr="00A35984">
        <w:rPr>
          <w:rFonts w:cs="Arial"/>
          <w:noProof/>
          <w:sz w:val="24"/>
        </w:rPr>
        <w:t>This policy should be read in conjunction with:-</w:t>
      </w:r>
    </w:p>
    <w:p w14:paraId="7DF0DC6F" w14:textId="77777777" w:rsidR="00A35984" w:rsidRPr="00A35984" w:rsidRDefault="00A35984" w:rsidP="00A35984">
      <w:pPr>
        <w:pStyle w:val="ListParagraph"/>
        <w:numPr>
          <w:ilvl w:val="0"/>
          <w:numId w:val="21"/>
        </w:numPr>
        <w:spacing w:before="0" w:after="0"/>
        <w:rPr>
          <w:rFonts w:cs="Arial"/>
          <w:noProof/>
          <w:sz w:val="24"/>
        </w:rPr>
      </w:pPr>
      <w:r w:rsidRPr="00A35984">
        <w:rPr>
          <w:rFonts w:cs="Arial"/>
          <w:noProof/>
          <w:sz w:val="24"/>
        </w:rPr>
        <w:t>Being Opan and Duty of Candour Policy C-0060</w:t>
      </w:r>
    </w:p>
    <w:p w14:paraId="035F6B6C" w14:textId="62AAB7ED" w:rsidR="00CB713C" w:rsidRPr="00C2247C" w:rsidRDefault="00CB713C" w:rsidP="008168F1">
      <w:pPr>
        <w:pStyle w:val="ListParagraph"/>
        <w:numPr>
          <w:ilvl w:val="0"/>
          <w:numId w:val="21"/>
        </w:numPr>
        <w:spacing w:before="0" w:after="0"/>
        <w:rPr>
          <w:rFonts w:cs="Arial"/>
          <w:noProof/>
          <w:sz w:val="24"/>
        </w:rPr>
      </w:pPr>
      <w:r w:rsidRPr="00A35984">
        <w:rPr>
          <w:rFonts w:cs="Arial"/>
          <w:noProof/>
          <w:sz w:val="24"/>
        </w:rPr>
        <w:t>The Management of Incidents Including Serious Incidents Procedure – RM-0002</w:t>
      </w:r>
      <w:r w:rsidRPr="00C2247C">
        <w:rPr>
          <w:rFonts w:cs="Arial"/>
          <w:noProof/>
          <w:sz w:val="24"/>
        </w:rPr>
        <w:t>.</w:t>
      </w:r>
    </w:p>
    <w:p w14:paraId="010CBDBC" w14:textId="6E6399FF" w:rsidR="00D631F6" w:rsidRPr="00C2247C" w:rsidRDefault="00DE2BF8" w:rsidP="00CB713C">
      <w:pPr>
        <w:spacing w:before="0" w:after="0"/>
        <w:ind w:left="720" w:hanging="720"/>
        <w:rPr>
          <w:rFonts w:cs="Arial"/>
          <w:noProof/>
          <w:sz w:val="24"/>
        </w:rPr>
      </w:pPr>
      <w:r w:rsidRPr="00C2247C">
        <w:rPr>
          <w:rFonts w:cs="Arial"/>
          <w:noProof/>
          <w:sz w:val="24"/>
        </w:rPr>
        <w:t xml:space="preserve"> </w:t>
      </w:r>
    </w:p>
    <w:p w14:paraId="010CBDC0" w14:textId="77777777" w:rsidR="00D631F6" w:rsidRPr="00C2247C" w:rsidRDefault="00D631F6" w:rsidP="00D631F6">
      <w:pPr>
        <w:spacing w:before="0" w:after="0"/>
        <w:rPr>
          <w:rFonts w:cs="Arial"/>
          <w:b/>
          <w:sz w:val="24"/>
        </w:rPr>
      </w:pPr>
    </w:p>
    <w:p w14:paraId="010CBDC1" w14:textId="7389A929" w:rsidR="007132DB" w:rsidRPr="00C2247C" w:rsidRDefault="00CB713C" w:rsidP="008168F1">
      <w:pPr>
        <w:pStyle w:val="ListParagraph"/>
        <w:numPr>
          <w:ilvl w:val="1"/>
          <w:numId w:val="5"/>
        </w:numPr>
        <w:spacing w:before="0" w:after="0"/>
        <w:rPr>
          <w:rFonts w:cs="Arial"/>
          <w:b/>
          <w:bCs/>
          <w:iCs/>
          <w:sz w:val="24"/>
        </w:rPr>
      </w:pPr>
      <w:r w:rsidRPr="00C2247C">
        <w:rPr>
          <w:rFonts w:cs="Arial"/>
          <w:b/>
          <w:bCs/>
          <w:iCs/>
          <w:sz w:val="24"/>
        </w:rPr>
        <w:t xml:space="preserve">Purpose and Scope of this </w:t>
      </w:r>
      <w:r w:rsidR="001F3930" w:rsidRPr="00C2247C">
        <w:rPr>
          <w:rFonts w:cs="Arial"/>
          <w:b/>
          <w:bCs/>
          <w:iCs/>
          <w:sz w:val="24"/>
        </w:rPr>
        <w:t>policy</w:t>
      </w:r>
    </w:p>
    <w:p w14:paraId="010CBDC2" w14:textId="77777777" w:rsidR="003D619A" w:rsidRPr="00C2247C" w:rsidRDefault="003D619A" w:rsidP="007E4912">
      <w:pPr>
        <w:spacing w:before="0" w:after="0"/>
        <w:rPr>
          <w:rFonts w:cs="Arial"/>
          <w:b/>
          <w:bCs/>
          <w:iCs/>
          <w:sz w:val="24"/>
        </w:rPr>
      </w:pPr>
    </w:p>
    <w:p w14:paraId="0F2A390A" w14:textId="25DE6997" w:rsidR="008D288D" w:rsidRDefault="007E4912" w:rsidP="001F3930">
      <w:pPr>
        <w:pStyle w:val="ListParagraph"/>
        <w:spacing w:before="0" w:after="0"/>
        <w:rPr>
          <w:rFonts w:cs="Arial"/>
          <w:sz w:val="24"/>
        </w:rPr>
      </w:pPr>
      <w:r w:rsidRPr="00C2247C">
        <w:rPr>
          <w:rFonts w:cs="Arial"/>
          <w:sz w:val="24"/>
        </w:rPr>
        <w:t>Reviewing</w:t>
      </w:r>
      <w:r w:rsidR="005E2F12">
        <w:rPr>
          <w:rFonts w:cs="Arial"/>
          <w:sz w:val="24"/>
        </w:rPr>
        <w:t xml:space="preserve"> the</w:t>
      </w:r>
      <w:r w:rsidRPr="00C2247C">
        <w:rPr>
          <w:rFonts w:cs="Arial"/>
          <w:sz w:val="24"/>
        </w:rPr>
        <w:t xml:space="preserve"> deaths of patients who</w:t>
      </w:r>
      <w:r w:rsidR="005E2F12">
        <w:rPr>
          <w:rFonts w:cs="Arial"/>
          <w:sz w:val="24"/>
        </w:rPr>
        <w:t xml:space="preserve"> are or</w:t>
      </w:r>
      <w:r w:rsidRPr="00C2247C">
        <w:rPr>
          <w:rFonts w:cs="Arial"/>
          <w:sz w:val="24"/>
        </w:rPr>
        <w:t xml:space="preserve"> have</w:t>
      </w:r>
      <w:r w:rsidR="005E2F12">
        <w:rPr>
          <w:rFonts w:cs="Arial"/>
          <w:sz w:val="24"/>
        </w:rPr>
        <w:t xml:space="preserve"> recently</w:t>
      </w:r>
      <w:r w:rsidRPr="00C2247C">
        <w:rPr>
          <w:rFonts w:cs="Arial"/>
          <w:sz w:val="24"/>
        </w:rPr>
        <w:t xml:space="preserve"> been in </w:t>
      </w:r>
      <w:r w:rsidR="002B213B" w:rsidRPr="00C2247C">
        <w:rPr>
          <w:rFonts w:cs="Arial"/>
          <w:sz w:val="24"/>
        </w:rPr>
        <w:t>receipt</w:t>
      </w:r>
      <w:r w:rsidRPr="00C2247C">
        <w:rPr>
          <w:rFonts w:cs="Arial"/>
          <w:sz w:val="24"/>
        </w:rPr>
        <w:t xml:space="preserve"> of our care provides </w:t>
      </w:r>
      <w:r w:rsidR="005E2F12">
        <w:rPr>
          <w:rFonts w:cs="Arial"/>
          <w:sz w:val="24"/>
        </w:rPr>
        <w:t>the Trust with a</w:t>
      </w:r>
      <w:r w:rsidR="008D288D">
        <w:rPr>
          <w:rFonts w:cs="Arial"/>
          <w:sz w:val="24"/>
        </w:rPr>
        <w:t xml:space="preserve">n </w:t>
      </w:r>
      <w:r w:rsidR="005E2F12">
        <w:rPr>
          <w:rFonts w:cs="Arial"/>
          <w:sz w:val="24"/>
        </w:rPr>
        <w:t>opportunity to identify</w:t>
      </w:r>
      <w:r w:rsidR="008D288D">
        <w:rPr>
          <w:rFonts w:cs="Arial"/>
          <w:sz w:val="24"/>
        </w:rPr>
        <w:t xml:space="preserve"> where</w:t>
      </w:r>
      <w:r w:rsidRPr="00C2247C">
        <w:rPr>
          <w:rFonts w:cs="Arial"/>
          <w:sz w:val="24"/>
        </w:rPr>
        <w:t xml:space="preserve"> good practice</w:t>
      </w:r>
      <w:r w:rsidR="005E2F12">
        <w:rPr>
          <w:rFonts w:cs="Arial"/>
          <w:sz w:val="24"/>
        </w:rPr>
        <w:t xml:space="preserve"> </w:t>
      </w:r>
      <w:r w:rsidR="008D288D">
        <w:rPr>
          <w:rFonts w:cs="Arial"/>
          <w:sz w:val="24"/>
        </w:rPr>
        <w:t>took place</w:t>
      </w:r>
      <w:r w:rsidR="00AE4F6A">
        <w:rPr>
          <w:rFonts w:cs="Arial"/>
          <w:sz w:val="24"/>
        </w:rPr>
        <w:t>,</w:t>
      </w:r>
      <w:r w:rsidR="008D288D">
        <w:rPr>
          <w:rFonts w:cs="Arial"/>
          <w:sz w:val="24"/>
        </w:rPr>
        <w:t xml:space="preserve"> to share and learn from</w:t>
      </w:r>
      <w:r w:rsidRPr="00C2247C">
        <w:rPr>
          <w:rFonts w:cs="Arial"/>
          <w:sz w:val="24"/>
        </w:rPr>
        <w:t xml:space="preserve">. </w:t>
      </w:r>
      <w:r w:rsidR="008D288D">
        <w:rPr>
          <w:rFonts w:cs="Arial"/>
          <w:sz w:val="24"/>
        </w:rPr>
        <w:t>Through w</w:t>
      </w:r>
      <w:r w:rsidR="001F3930" w:rsidRPr="00C2247C">
        <w:rPr>
          <w:rFonts w:cs="Arial"/>
          <w:sz w:val="24"/>
        </w:rPr>
        <w:t xml:space="preserve">orking with </w:t>
      </w:r>
      <w:r w:rsidRPr="00C2247C">
        <w:rPr>
          <w:rFonts w:cs="Arial"/>
          <w:sz w:val="24"/>
        </w:rPr>
        <w:t xml:space="preserve">staff and </w:t>
      </w:r>
      <w:r w:rsidR="001F3930" w:rsidRPr="00C2247C">
        <w:rPr>
          <w:rFonts w:cs="Arial"/>
          <w:sz w:val="24"/>
        </w:rPr>
        <w:t xml:space="preserve">families/carers of patients who have died </w:t>
      </w:r>
      <w:r w:rsidR="008D288D">
        <w:rPr>
          <w:rFonts w:cs="Arial"/>
          <w:sz w:val="24"/>
        </w:rPr>
        <w:t>we also gain</w:t>
      </w:r>
      <w:r w:rsidR="008D288D" w:rsidRPr="00C2247C">
        <w:rPr>
          <w:rFonts w:cs="Arial"/>
          <w:sz w:val="24"/>
        </w:rPr>
        <w:t xml:space="preserve"> </w:t>
      </w:r>
      <w:r w:rsidR="008D288D">
        <w:rPr>
          <w:rFonts w:cs="Arial"/>
          <w:sz w:val="24"/>
        </w:rPr>
        <w:t>information on where we can</w:t>
      </w:r>
      <w:r w:rsidR="001F3930" w:rsidRPr="00C2247C">
        <w:rPr>
          <w:rFonts w:cs="Arial"/>
          <w:sz w:val="24"/>
        </w:rPr>
        <w:t xml:space="preserve"> improve services. </w:t>
      </w:r>
    </w:p>
    <w:p w14:paraId="0FCDF9F9" w14:textId="77777777" w:rsidR="008D288D" w:rsidRDefault="008D288D" w:rsidP="001F3930">
      <w:pPr>
        <w:pStyle w:val="ListParagraph"/>
        <w:spacing w:before="0" w:after="0"/>
        <w:rPr>
          <w:rFonts w:cs="Arial"/>
          <w:sz w:val="24"/>
        </w:rPr>
      </w:pPr>
    </w:p>
    <w:p w14:paraId="33E45465" w14:textId="68DFD75A" w:rsidR="008D288D" w:rsidRDefault="008D288D" w:rsidP="001F3930">
      <w:pPr>
        <w:pStyle w:val="ListParagraph"/>
        <w:spacing w:before="0" w:after="0"/>
        <w:rPr>
          <w:rFonts w:cs="Arial"/>
          <w:sz w:val="24"/>
        </w:rPr>
      </w:pPr>
      <w:r w:rsidRPr="00C2247C">
        <w:rPr>
          <w:rFonts w:cs="Arial"/>
          <w:sz w:val="24"/>
        </w:rPr>
        <w:t>In line with the NQB guidance on Learning from Deaths, e</w:t>
      </w:r>
      <w:r>
        <w:rPr>
          <w:rFonts w:cs="Arial"/>
          <w:sz w:val="24"/>
        </w:rPr>
        <w:t>ach</w:t>
      </w:r>
      <w:r w:rsidRPr="00C2247C">
        <w:rPr>
          <w:rFonts w:cs="Arial"/>
          <w:sz w:val="24"/>
        </w:rPr>
        <w:t xml:space="preserve"> Trust must have a policy in place that sets out how it identifies</w:t>
      </w:r>
      <w:r>
        <w:rPr>
          <w:rFonts w:cs="Arial"/>
          <w:sz w:val="24"/>
        </w:rPr>
        <w:t>,</w:t>
      </w:r>
      <w:r w:rsidRPr="00C2247C">
        <w:rPr>
          <w:rFonts w:cs="Arial"/>
          <w:sz w:val="24"/>
        </w:rPr>
        <w:t xml:space="preserve"> reports, investigates, and learns f</w:t>
      </w:r>
      <w:r>
        <w:rPr>
          <w:rFonts w:cs="Arial"/>
          <w:sz w:val="24"/>
        </w:rPr>
        <w:t xml:space="preserve">ollowing a </w:t>
      </w:r>
      <w:r w:rsidRPr="00C2247C">
        <w:rPr>
          <w:rFonts w:cs="Arial"/>
          <w:sz w:val="24"/>
        </w:rPr>
        <w:t xml:space="preserve">patient’s death. </w:t>
      </w:r>
      <w:r w:rsidR="003F2D33">
        <w:rPr>
          <w:rFonts w:cs="Arial"/>
          <w:sz w:val="24"/>
        </w:rPr>
        <w:t xml:space="preserve">The initial review </w:t>
      </w:r>
      <w:r w:rsidRPr="00C2247C">
        <w:rPr>
          <w:rFonts w:cs="Arial"/>
          <w:sz w:val="24"/>
        </w:rPr>
        <w:t>should include the care leading up to the patient’s death</w:t>
      </w:r>
      <w:r w:rsidR="003F2D33">
        <w:rPr>
          <w:rFonts w:cs="Arial"/>
          <w:sz w:val="24"/>
        </w:rPr>
        <w:t xml:space="preserve">, </w:t>
      </w:r>
      <w:r w:rsidRPr="00C2247C">
        <w:rPr>
          <w:rFonts w:cs="Arial"/>
          <w:sz w:val="24"/>
        </w:rPr>
        <w:t>considering if this could have been improved</w:t>
      </w:r>
      <w:r>
        <w:rPr>
          <w:rFonts w:cs="Arial"/>
          <w:sz w:val="24"/>
        </w:rPr>
        <w:t xml:space="preserve">. </w:t>
      </w:r>
    </w:p>
    <w:p w14:paraId="5A13DE83" w14:textId="77777777" w:rsidR="008D288D" w:rsidRDefault="008D288D" w:rsidP="001F3930">
      <w:pPr>
        <w:pStyle w:val="ListParagraph"/>
        <w:spacing w:before="0" w:after="0"/>
        <w:rPr>
          <w:rFonts w:cs="Arial"/>
          <w:sz w:val="24"/>
        </w:rPr>
      </w:pPr>
    </w:p>
    <w:p w14:paraId="010CBDC5" w14:textId="27CF384D" w:rsidR="001F3930" w:rsidRPr="00C2247C" w:rsidRDefault="001F3930" w:rsidP="001F3930">
      <w:pPr>
        <w:pStyle w:val="ListParagraph"/>
        <w:spacing w:before="0" w:after="0"/>
        <w:rPr>
          <w:rFonts w:cs="Arial"/>
          <w:sz w:val="24"/>
        </w:rPr>
      </w:pPr>
      <w:r w:rsidRPr="00C2247C">
        <w:rPr>
          <w:rFonts w:cs="Arial"/>
          <w:sz w:val="24"/>
        </w:rPr>
        <w:t>This policy informs the organisation of staffs’ roles and responsibilities relating to learning from deaths and</w:t>
      </w:r>
      <w:r w:rsidR="00AE4F6A">
        <w:rPr>
          <w:rFonts w:cs="Arial"/>
          <w:sz w:val="24"/>
        </w:rPr>
        <w:t xml:space="preserve"> how we</w:t>
      </w:r>
      <w:r w:rsidRPr="00C2247C">
        <w:rPr>
          <w:rFonts w:cs="Arial"/>
          <w:sz w:val="24"/>
        </w:rPr>
        <w:t xml:space="preserve"> </w:t>
      </w:r>
      <w:r w:rsidR="008D288D">
        <w:rPr>
          <w:rFonts w:cs="Arial"/>
          <w:sz w:val="24"/>
        </w:rPr>
        <w:t>identif</w:t>
      </w:r>
      <w:r w:rsidR="00AE4F6A">
        <w:rPr>
          <w:rFonts w:cs="Arial"/>
          <w:sz w:val="24"/>
        </w:rPr>
        <w:t>y</w:t>
      </w:r>
      <w:r w:rsidR="008D288D" w:rsidRPr="00C2247C">
        <w:rPr>
          <w:rFonts w:cs="Arial"/>
          <w:sz w:val="24"/>
        </w:rPr>
        <w:t xml:space="preserve"> </w:t>
      </w:r>
      <w:r w:rsidR="008D288D">
        <w:rPr>
          <w:rFonts w:cs="Arial"/>
          <w:sz w:val="24"/>
        </w:rPr>
        <w:t>learning opportunities</w:t>
      </w:r>
      <w:r w:rsidRPr="00C2247C">
        <w:rPr>
          <w:rFonts w:cs="Arial"/>
          <w:sz w:val="24"/>
        </w:rPr>
        <w:t>.</w:t>
      </w:r>
    </w:p>
    <w:p w14:paraId="010CBDC6" w14:textId="77777777" w:rsidR="001F3930" w:rsidRPr="00C2247C" w:rsidRDefault="001F3930" w:rsidP="001F3930">
      <w:pPr>
        <w:pStyle w:val="ListParagraph"/>
        <w:spacing w:before="0" w:after="0"/>
        <w:rPr>
          <w:rFonts w:cs="Arial"/>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1F3930" w:rsidRPr="00C2247C" w14:paraId="010CBDC9" w14:textId="77777777" w:rsidTr="00F7351D">
        <w:trPr>
          <w:trHeight w:val="584"/>
        </w:trPr>
        <w:tc>
          <w:tcPr>
            <w:tcW w:w="675" w:type="dxa"/>
            <w:shd w:val="clear" w:color="auto" w:fill="FFFFCC"/>
          </w:tcPr>
          <w:p w14:paraId="010CBDC7" w14:textId="77777777" w:rsidR="001F3930" w:rsidRPr="00C2247C" w:rsidRDefault="001F3930" w:rsidP="00F7351D">
            <w:pPr>
              <w:rPr>
                <w:rFonts w:cs="Arial"/>
                <w:sz w:val="24"/>
              </w:rPr>
            </w:pPr>
            <w:r w:rsidRPr="00C2247C">
              <w:rPr>
                <w:rFonts w:cs="Arial"/>
                <w:noProof/>
                <w:sz w:val="24"/>
              </w:rPr>
              <w:drawing>
                <wp:anchor distT="0" distB="0" distL="114300" distR="114300" simplePos="0" relativeHeight="251659264" behindDoc="0" locked="0" layoutInCell="1" allowOverlap="1" wp14:anchorId="010CBF2D" wp14:editId="010CBF2E">
                  <wp:simplePos x="0" y="0"/>
                  <wp:positionH relativeFrom="column">
                    <wp:posOffset>-9525</wp:posOffset>
                  </wp:positionH>
                  <wp:positionV relativeFrom="paragraph">
                    <wp:posOffset>5080</wp:posOffset>
                  </wp:positionV>
                  <wp:extent cx="372110" cy="350520"/>
                  <wp:effectExtent l="0" t="0" r="8890" b="0"/>
                  <wp:wrapSquare wrapText="bothSides"/>
                  <wp:docPr id="3" name="Picture 3"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2" w:type="dxa"/>
            <w:shd w:val="clear" w:color="auto" w:fill="FFFFCC"/>
          </w:tcPr>
          <w:p w14:paraId="010CBDC8" w14:textId="77777777" w:rsidR="001F3930" w:rsidRPr="00C2247C" w:rsidRDefault="001F3930" w:rsidP="00F7351D">
            <w:pPr>
              <w:rPr>
                <w:rFonts w:cs="Arial"/>
                <w:sz w:val="24"/>
              </w:rPr>
            </w:pPr>
            <w:r w:rsidRPr="00C2247C">
              <w:rPr>
                <w:rFonts w:cs="Arial"/>
                <w:b/>
                <w:sz w:val="24"/>
                <w:shd w:val="clear" w:color="auto" w:fill="FFFFCC"/>
              </w:rPr>
              <w:t>Learning from a review about the care provided to patients who die in our care is integral to the Trust’s governance and quality improvement work.</w:t>
            </w:r>
          </w:p>
        </w:tc>
      </w:tr>
    </w:tbl>
    <w:p w14:paraId="7EF919A0" w14:textId="77777777" w:rsidR="00C2247C" w:rsidRDefault="00C2247C" w:rsidP="00235F49">
      <w:pPr>
        <w:pStyle w:val="Heading9"/>
        <w:spacing w:before="0"/>
        <w:rPr>
          <w:rFonts w:ascii="Arial" w:eastAsia="Times New Roman" w:hAnsi="Arial" w:cs="Arial"/>
          <w:b/>
          <w:i w:val="0"/>
          <w:iCs w:val="0"/>
          <w:color w:val="auto"/>
          <w:sz w:val="24"/>
          <w:szCs w:val="24"/>
        </w:rPr>
      </w:pPr>
    </w:p>
    <w:p w14:paraId="010CBDCA" w14:textId="256A6D8A" w:rsidR="00235F49" w:rsidRPr="00C2247C" w:rsidRDefault="001F3930" w:rsidP="00235F49">
      <w:pPr>
        <w:pStyle w:val="Heading9"/>
        <w:spacing w:before="0"/>
        <w:rPr>
          <w:rFonts w:ascii="Arial" w:eastAsia="Times New Roman" w:hAnsi="Arial" w:cs="Arial"/>
          <w:b/>
          <w:i w:val="0"/>
          <w:iCs w:val="0"/>
          <w:color w:val="auto"/>
          <w:sz w:val="24"/>
          <w:szCs w:val="24"/>
        </w:rPr>
      </w:pPr>
      <w:r w:rsidRPr="00C2247C">
        <w:rPr>
          <w:rFonts w:ascii="Arial" w:eastAsia="Times New Roman" w:hAnsi="Arial" w:cs="Arial"/>
          <w:b/>
          <w:i w:val="0"/>
          <w:iCs w:val="0"/>
          <w:color w:val="auto"/>
          <w:sz w:val="24"/>
          <w:szCs w:val="24"/>
        </w:rPr>
        <w:t>1.3</w:t>
      </w:r>
      <w:r w:rsidRPr="00C2247C">
        <w:rPr>
          <w:rFonts w:ascii="Arial" w:eastAsia="Times New Roman" w:hAnsi="Arial" w:cs="Arial"/>
          <w:b/>
          <w:i w:val="0"/>
          <w:iCs w:val="0"/>
          <w:color w:val="auto"/>
          <w:sz w:val="24"/>
          <w:szCs w:val="24"/>
        </w:rPr>
        <w:tab/>
        <w:t>Purpose</w:t>
      </w:r>
    </w:p>
    <w:p w14:paraId="010CBDCB" w14:textId="61CBB859" w:rsidR="002378F9" w:rsidRPr="00C2247C" w:rsidRDefault="002378F9" w:rsidP="002378F9">
      <w:pPr>
        <w:ind w:left="720"/>
        <w:rPr>
          <w:rFonts w:cs="Arial"/>
          <w:sz w:val="24"/>
        </w:rPr>
      </w:pPr>
      <w:r w:rsidRPr="00C2247C">
        <w:rPr>
          <w:rFonts w:cs="Arial"/>
          <w:sz w:val="24"/>
        </w:rPr>
        <w:t xml:space="preserve">The purpose of this policy is to set out </w:t>
      </w:r>
      <w:r w:rsidR="003F2D33">
        <w:rPr>
          <w:rFonts w:cs="Arial"/>
          <w:sz w:val="24"/>
        </w:rPr>
        <w:t xml:space="preserve">how </w:t>
      </w:r>
      <w:r w:rsidRPr="00C2247C">
        <w:rPr>
          <w:rFonts w:cs="Arial"/>
          <w:sz w:val="24"/>
        </w:rPr>
        <w:t xml:space="preserve">the Trust responds to deaths in our care and identifies the scope of review for each death and how the </w:t>
      </w:r>
      <w:r w:rsidR="00525380">
        <w:rPr>
          <w:rFonts w:cs="Arial"/>
          <w:sz w:val="24"/>
        </w:rPr>
        <w:t>T</w:t>
      </w:r>
      <w:r w:rsidRPr="00C2247C">
        <w:rPr>
          <w:rFonts w:cs="Arial"/>
          <w:sz w:val="24"/>
        </w:rPr>
        <w:t>rust will learn from them.</w:t>
      </w:r>
    </w:p>
    <w:p w14:paraId="010CBDCC" w14:textId="044A2321" w:rsidR="001D380F" w:rsidRPr="00C2247C" w:rsidRDefault="002378F9" w:rsidP="002378F9">
      <w:pPr>
        <w:ind w:left="720"/>
        <w:rPr>
          <w:rFonts w:cs="Arial"/>
          <w:sz w:val="24"/>
        </w:rPr>
      </w:pPr>
      <w:r w:rsidRPr="00C2247C">
        <w:rPr>
          <w:rFonts w:cs="Arial"/>
          <w:sz w:val="24"/>
        </w:rPr>
        <w:lastRenderedPageBreak/>
        <w:t>This policy sets out how staff can support families and carers</w:t>
      </w:r>
      <w:r w:rsidR="003F2D33" w:rsidRPr="00C2247C">
        <w:rPr>
          <w:rFonts w:cs="Arial"/>
          <w:sz w:val="24"/>
        </w:rPr>
        <w:t xml:space="preserve"> involvement </w:t>
      </w:r>
      <w:r w:rsidRPr="00C2247C">
        <w:rPr>
          <w:rFonts w:cs="Arial"/>
          <w:sz w:val="24"/>
        </w:rPr>
        <w:t>when a death has occurred</w:t>
      </w:r>
      <w:r w:rsidR="00525380">
        <w:rPr>
          <w:rFonts w:cs="Arial"/>
          <w:sz w:val="24"/>
        </w:rPr>
        <w:t>,</w:t>
      </w:r>
      <w:r w:rsidRPr="00C2247C">
        <w:rPr>
          <w:rFonts w:cs="Arial"/>
          <w:sz w:val="24"/>
        </w:rPr>
        <w:t xml:space="preserve"> </w:t>
      </w:r>
      <w:r w:rsidR="003F2D33">
        <w:rPr>
          <w:rFonts w:cs="Arial"/>
          <w:sz w:val="24"/>
        </w:rPr>
        <w:t>including</w:t>
      </w:r>
      <w:r w:rsidR="003F2D33" w:rsidRPr="00C2247C">
        <w:rPr>
          <w:rFonts w:cs="Arial"/>
          <w:sz w:val="24"/>
        </w:rPr>
        <w:t xml:space="preserve"> </w:t>
      </w:r>
      <w:r w:rsidRPr="00C2247C">
        <w:rPr>
          <w:rFonts w:cs="Arial"/>
          <w:sz w:val="24"/>
        </w:rPr>
        <w:t>how to ensure there are opportunities to discuss or ask questions about the care received by their loved one</w:t>
      </w:r>
      <w:r w:rsidR="003F2D33">
        <w:rPr>
          <w:rFonts w:cs="Arial"/>
          <w:sz w:val="24"/>
        </w:rPr>
        <w:t>,</w:t>
      </w:r>
      <w:r w:rsidRPr="00C2247C">
        <w:rPr>
          <w:rFonts w:cs="Arial"/>
          <w:sz w:val="24"/>
        </w:rPr>
        <w:t xml:space="preserve"> to their preferred timescale.</w:t>
      </w:r>
    </w:p>
    <w:p w14:paraId="010CBDCD" w14:textId="35590ECE" w:rsidR="002378F9" w:rsidRPr="00C2247C" w:rsidRDefault="002378F9" w:rsidP="002378F9">
      <w:pPr>
        <w:rPr>
          <w:rFonts w:cs="Arial"/>
          <w:b/>
          <w:sz w:val="24"/>
        </w:rPr>
      </w:pPr>
      <w:r w:rsidRPr="00C2247C">
        <w:rPr>
          <w:rFonts w:cs="Arial"/>
          <w:b/>
          <w:sz w:val="24"/>
        </w:rPr>
        <w:t>1.4</w:t>
      </w:r>
      <w:r w:rsidRPr="00C2247C">
        <w:rPr>
          <w:rFonts w:cs="Arial"/>
          <w:b/>
          <w:sz w:val="24"/>
        </w:rPr>
        <w:tab/>
        <w:t>Objectives</w:t>
      </w:r>
    </w:p>
    <w:p w14:paraId="010CBDCE" w14:textId="77777777" w:rsidR="002378F9" w:rsidRPr="00C2247C" w:rsidRDefault="002378F9" w:rsidP="002378F9">
      <w:pPr>
        <w:ind w:left="720"/>
        <w:rPr>
          <w:rFonts w:cs="Arial"/>
          <w:sz w:val="24"/>
        </w:rPr>
      </w:pPr>
      <w:r w:rsidRPr="00C2247C">
        <w:rPr>
          <w:rFonts w:cs="Arial"/>
          <w:sz w:val="24"/>
        </w:rPr>
        <w:t xml:space="preserve">While a focus on process is important, everything that is done should place emphasis on the outcomes of learning from deaths and supporting families and carers.  </w:t>
      </w:r>
    </w:p>
    <w:p w14:paraId="010CBDCF" w14:textId="77777777" w:rsidR="002378F9" w:rsidRPr="00C2247C" w:rsidRDefault="002378F9" w:rsidP="002378F9">
      <w:pPr>
        <w:ind w:firstLine="720"/>
        <w:rPr>
          <w:rFonts w:cs="Arial"/>
          <w:sz w:val="24"/>
        </w:rPr>
      </w:pPr>
      <w:r w:rsidRPr="00C2247C">
        <w:rPr>
          <w:rFonts w:cs="Arial"/>
          <w:sz w:val="24"/>
        </w:rPr>
        <w:t xml:space="preserve">The core objectives of this policy are: </w:t>
      </w:r>
    </w:p>
    <w:p w14:paraId="4C60A3D9" w14:textId="664F33C2" w:rsidR="0075161F" w:rsidRPr="0075161F" w:rsidRDefault="002378F9" w:rsidP="008168F1">
      <w:pPr>
        <w:pStyle w:val="ListParagraph"/>
        <w:numPr>
          <w:ilvl w:val="1"/>
          <w:numId w:val="25"/>
        </w:numPr>
        <w:rPr>
          <w:rFonts w:cs="Arial"/>
          <w:sz w:val="24"/>
        </w:rPr>
      </w:pPr>
      <w:r w:rsidRPr="0075161F">
        <w:rPr>
          <w:rFonts w:cs="Arial"/>
          <w:sz w:val="24"/>
        </w:rPr>
        <w:t xml:space="preserve">To </w:t>
      </w:r>
      <w:r w:rsidR="003F2D33" w:rsidRPr="0075161F">
        <w:rPr>
          <w:rFonts w:cs="Arial"/>
          <w:sz w:val="24"/>
        </w:rPr>
        <w:t>support</w:t>
      </w:r>
      <w:r w:rsidR="00D202ED" w:rsidRPr="0075161F">
        <w:rPr>
          <w:rFonts w:cs="Arial"/>
          <w:sz w:val="24"/>
        </w:rPr>
        <w:t xml:space="preserve"> </w:t>
      </w:r>
      <w:r w:rsidR="003F2D33" w:rsidRPr="0075161F">
        <w:rPr>
          <w:rFonts w:cs="Arial"/>
          <w:sz w:val="24"/>
        </w:rPr>
        <w:t>staff</w:t>
      </w:r>
      <w:r w:rsidR="00D202ED" w:rsidRPr="0075161F">
        <w:rPr>
          <w:rFonts w:cs="Arial"/>
          <w:sz w:val="24"/>
        </w:rPr>
        <w:t xml:space="preserve"> </w:t>
      </w:r>
      <w:r w:rsidR="003F2D33" w:rsidRPr="0075161F">
        <w:rPr>
          <w:rFonts w:cs="Arial"/>
          <w:sz w:val="24"/>
        </w:rPr>
        <w:t>to</w:t>
      </w:r>
      <w:r w:rsidR="0075161F" w:rsidRPr="0075161F">
        <w:rPr>
          <w:rFonts w:cs="Arial"/>
          <w:sz w:val="24"/>
        </w:rPr>
        <w:t xml:space="preserve"> be</w:t>
      </w:r>
      <w:r w:rsidR="003F2D33" w:rsidRPr="0075161F">
        <w:rPr>
          <w:rFonts w:cs="Arial"/>
          <w:sz w:val="24"/>
        </w:rPr>
        <w:t xml:space="preserve"> </w:t>
      </w:r>
      <w:r w:rsidR="0075161F" w:rsidRPr="0075161F">
        <w:rPr>
          <w:rFonts w:cs="Arial"/>
          <w:sz w:val="24"/>
        </w:rPr>
        <w:t xml:space="preserve">open, transparent and compassionate in their </w:t>
      </w:r>
      <w:r w:rsidRPr="0075161F">
        <w:rPr>
          <w:rFonts w:cs="Arial"/>
          <w:sz w:val="24"/>
        </w:rPr>
        <w:t>engage</w:t>
      </w:r>
      <w:r w:rsidR="0075161F" w:rsidRPr="0075161F">
        <w:rPr>
          <w:rFonts w:cs="Arial"/>
          <w:sz w:val="24"/>
        </w:rPr>
        <w:t>ment</w:t>
      </w:r>
      <w:r w:rsidRPr="0075161F">
        <w:rPr>
          <w:rFonts w:cs="Arial"/>
          <w:sz w:val="24"/>
        </w:rPr>
        <w:t xml:space="preserve"> </w:t>
      </w:r>
      <w:r w:rsidR="003F2D33" w:rsidRPr="0075161F">
        <w:rPr>
          <w:rFonts w:cs="Arial"/>
          <w:sz w:val="24"/>
        </w:rPr>
        <w:t xml:space="preserve">with </w:t>
      </w:r>
      <w:r w:rsidRPr="0075161F">
        <w:rPr>
          <w:rFonts w:cs="Arial"/>
          <w:sz w:val="24"/>
        </w:rPr>
        <w:t xml:space="preserve">families </w:t>
      </w:r>
      <w:r w:rsidR="003F2D33" w:rsidRPr="0075161F">
        <w:rPr>
          <w:rFonts w:cs="Arial"/>
          <w:sz w:val="24"/>
        </w:rPr>
        <w:t>and</w:t>
      </w:r>
      <w:r w:rsidR="00D202ED" w:rsidRPr="0075161F">
        <w:rPr>
          <w:rFonts w:cs="Arial"/>
          <w:sz w:val="24"/>
        </w:rPr>
        <w:t xml:space="preserve"> </w:t>
      </w:r>
      <w:r w:rsidRPr="0075161F">
        <w:rPr>
          <w:rFonts w:cs="Arial"/>
          <w:sz w:val="24"/>
        </w:rPr>
        <w:t>carers</w:t>
      </w:r>
      <w:r w:rsidR="0075161F" w:rsidRPr="0075161F">
        <w:rPr>
          <w:rFonts w:cs="Arial"/>
          <w:sz w:val="24"/>
        </w:rPr>
        <w:t xml:space="preserve"> </w:t>
      </w:r>
      <w:r w:rsidR="00537185">
        <w:rPr>
          <w:rFonts w:cs="Arial"/>
          <w:sz w:val="24"/>
        </w:rPr>
        <w:t xml:space="preserve">including </w:t>
      </w:r>
      <w:r w:rsidR="00A3110A">
        <w:rPr>
          <w:rFonts w:cs="Arial"/>
          <w:sz w:val="24"/>
        </w:rPr>
        <w:t>the opportunity</w:t>
      </w:r>
      <w:r w:rsidR="0075161F">
        <w:rPr>
          <w:rFonts w:cs="Arial"/>
          <w:sz w:val="24"/>
        </w:rPr>
        <w:t xml:space="preserve"> to share </w:t>
      </w:r>
      <w:r w:rsidR="0075161F" w:rsidRPr="0075161F">
        <w:rPr>
          <w:rFonts w:cs="Arial"/>
          <w:sz w:val="24"/>
        </w:rPr>
        <w:t>information t</w:t>
      </w:r>
      <w:r w:rsidR="0075161F">
        <w:rPr>
          <w:rFonts w:cs="Arial"/>
          <w:sz w:val="24"/>
        </w:rPr>
        <w:t xml:space="preserve">o </w:t>
      </w:r>
      <w:r w:rsidR="0075161F" w:rsidRPr="0075161F">
        <w:rPr>
          <w:rFonts w:cs="Arial"/>
          <w:sz w:val="24"/>
        </w:rPr>
        <w:t>support our review</w:t>
      </w:r>
      <w:r w:rsidR="0075161F">
        <w:rPr>
          <w:rFonts w:cs="Arial"/>
          <w:sz w:val="24"/>
        </w:rPr>
        <w:t xml:space="preserve"> proces</w:t>
      </w:r>
      <w:r w:rsidR="0075161F" w:rsidRPr="0075161F">
        <w:rPr>
          <w:rFonts w:cs="Arial"/>
          <w:sz w:val="24"/>
        </w:rPr>
        <w:t xml:space="preserve">s. </w:t>
      </w:r>
    </w:p>
    <w:p w14:paraId="4DC6BC9F" w14:textId="0576BAFB" w:rsidR="00D202ED" w:rsidRPr="00D202ED" w:rsidRDefault="00D202ED" w:rsidP="008168F1">
      <w:pPr>
        <w:pStyle w:val="ListParagraph"/>
        <w:numPr>
          <w:ilvl w:val="1"/>
          <w:numId w:val="25"/>
        </w:numPr>
        <w:rPr>
          <w:rFonts w:cs="Arial"/>
          <w:sz w:val="24"/>
        </w:rPr>
      </w:pPr>
      <w:r w:rsidRPr="00D202ED">
        <w:rPr>
          <w:rFonts w:cs="Arial"/>
          <w:sz w:val="24"/>
        </w:rPr>
        <w:t xml:space="preserve">To standardise approaches to reviewing deaths in order to gather relevant information and identify key learning. </w:t>
      </w:r>
    </w:p>
    <w:p w14:paraId="457784B9" w14:textId="3FC02F50" w:rsidR="00D202ED" w:rsidRPr="00825962" w:rsidRDefault="002378F9" w:rsidP="008168F1">
      <w:pPr>
        <w:pStyle w:val="ListParagraph"/>
        <w:numPr>
          <w:ilvl w:val="1"/>
          <w:numId w:val="25"/>
        </w:numPr>
        <w:rPr>
          <w:sz w:val="24"/>
        </w:rPr>
      </w:pPr>
      <w:r w:rsidRPr="00D202ED">
        <w:rPr>
          <w:rFonts w:cs="Arial"/>
          <w:sz w:val="24"/>
        </w:rPr>
        <w:t>To help to identify what can be improved to ultimately reduce the inequality</w:t>
      </w:r>
      <w:r w:rsidR="0075161F">
        <w:rPr>
          <w:rFonts w:cs="Arial"/>
          <w:sz w:val="24"/>
        </w:rPr>
        <w:t xml:space="preserve"> </w:t>
      </w:r>
      <w:r w:rsidRPr="00D202ED">
        <w:rPr>
          <w:rFonts w:cs="Arial"/>
          <w:sz w:val="24"/>
        </w:rPr>
        <w:t>in the life expectancy of people with a serious mental illness/learning disability.</w:t>
      </w:r>
    </w:p>
    <w:p w14:paraId="010CBDD3" w14:textId="64C71B84" w:rsidR="002378F9" w:rsidRPr="00825962" w:rsidRDefault="00D202ED" w:rsidP="008168F1">
      <w:pPr>
        <w:pStyle w:val="ListParagraph"/>
        <w:numPr>
          <w:ilvl w:val="1"/>
          <w:numId w:val="25"/>
        </w:numPr>
        <w:rPr>
          <w:sz w:val="24"/>
        </w:rPr>
      </w:pPr>
      <w:r w:rsidRPr="00D202ED">
        <w:rPr>
          <w:rFonts w:cs="Arial"/>
          <w:sz w:val="24"/>
        </w:rPr>
        <w:t>T</w:t>
      </w:r>
      <w:r w:rsidR="002378F9" w:rsidRPr="00825962">
        <w:rPr>
          <w:sz w:val="24"/>
        </w:rPr>
        <w:t>o enhance learning at a personal, team and organisational level.</w:t>
      </w:r>
    </w:p>
    <w:p w14:paraId="010CBDD4" w14:textId="4E96B6F9" w:rsidR="002378F9" w:rsidRPr="00D202ED" w:rsidRDefault="002378F9" w:rsidP="008168F1">
      <w:pPr>
        <w:pStyle w:val="ListParagraph"/>
        <w:numPr>
          <w:ilvl w:val="1"/>
          <w:numId w:val="25"/>
        </w:numPr>
        <w:rPr>
          <w:rFonts w:cs="Arial"/>
          <w:sz w:val="24"/>
        </w:rPr>
      </w:pPr>
      <w:r w:rsidRPr="00D202ED">
        <w:rPr>
          <w:rFonts w:cs="Arial"/>
          <w:sz w:val="24"/>
        </w:rPr>
        <w:t>To ensure the Trust engages with other stakeholders (Acute Trusts</w:t>
      </w:r>
      <w:r w:rsidR="00A3110A">
        <w:rPr>
          <w:rFonts w:cs="Arial"/>
          <w:sz w:val="24"/>
        </w:rPr>
        <w:t>,</w:t>
      </w:r>
      <w:r w:rsidRPr="00D202ED">
        <w:rPr>
          <w:rFonts w:cs="Arial"/>
          <w:sz w:val="24"/>
        </w:rPr>
        <w:t xml:space="preserve"> Primary care, public health, Safeguarding, </w:t>
      </w:r>
      <w:r w:rsidR="002B213B" w:rsidRPr="00D202ED">
        <w:rPr>
          <w:rFonts w:cs="Arial"/>
          <w:sz w:val="24"/>
        </w:rPr>
        <w:t>Health,</w:t>
      </w:r>
      <w:r w:rsidRPr="00D202ED">
        <w:rPr>
          <w:rFonts w:cs="Arial"/>
          <w:sz w:val="24"/>
        </w:rPr>
        <w:t xml:space="preserve"> and Wellbeing Boards etc.) to work collaboratively, sharing relevant information and expertise to maximize learning from deaths</w:t>
      </w:r>
      <w:r w:rsidR="00A3110A">
        <w:rPr>
          <w:rFonts w:cs="Arial"/>
          <w:sz w:val="24"/>
        </w:rPr>
        <w:t>.</w:t>
      </w:r>
    </w:p>
    <w:p w14:paraId="010CBDD5" w14:textId="552808F8" w:rsidR="002378F9" w:rsidRPr="00D202ED" w:rsidRDefault="00C2247C" w:rsidP="008168F1">
      <w:pPr>
        <w:pStyle w:val="ListParagraph"/>
        <w:numPr>
          <w:ilvl w:val="1"/>
          <w:numId w:val="25"/>
        </w:numPr>
        <w:rPr>
          <w:rFonts w:cs="Arial"/>
          <w:sz w:val="24"/>
        </w:rPr>
      </w:pPr>
      <w:r w:rsidRPr="00D202ED">
        <w:rPr>
          <w:rFonts w:cs="Arial"/>
          <w:sz w:val="24"/>
        </w:rPr>
        <w:t>T</w:t>
      </w:r>
      <w:r w:rsidR="002378F9" w:rsidRPr="00D202ED">
        <w:rPr>
          <w:rFonts w:cs="Arial"/>
          <w:sz w:val="24"/>
        </w:rPr>
        <w:t xml:space="preserve">o support the evaluation of the Trust’s approach to learning from deaths in line with the northern cohort of mental health trusts agreed principles.  </w:t>
      </w:r>
    </w:p>
    <w:p w14:paraId="3E5139DD" w14:textId="0C906C27" w:rsidR="007628B0" w:rsidRPr="00C2247C" w:rsidRDefault="007628B0" w:rsidP="007628B0">
      <w:pPr>
        <w:tabs>
          <w:tab w:val="left" w:pos="709"/>
        </w:tabs>
        <w:spacing w:before="0" w:after="0"/>
        <w:jc w:val="left"/>
        <w:rPr>
          <w:rFonts w:cs="Arial"/>
          <w:b/>
          <w:sz w:val="24"/>
        </w:rPr>
      </w:pPr>
      <w:r w:rsidRPr="00C2247C">
        <w:rPr>
          <w:rFonts w:cs="Arial"/>
          <w:b/>
          <w:sz w:val="24"/>
        </w:rPr>
        <w:t xml:space="preserve">1.5 </w:t>
      </w:r>
      <w:r w:rsidRPr="00C2247C">
        <w:rPr>
          <w:rFonts w:cs="Arial"/>
          <w:b/>
          <w:sz w:val="24"/>
        </w:rPr>
        <w:tab/>
        <w:t>Definitions</w:t>
      </w:r>
    </w:p>
    <w:p w14:paraId="4D25B178" w14:textId="77777777" w:rsidR="007628B0" w:rsidRPr="00C2247C" w:rsidRDefault="007628B0" w:rsidP="007628B0">
      <w:pPr>
        <w:tabs>
          <w:tab w:val="left" w:pos="709"/>
        </w:tabs>
        <w:spacing w:before="0" w:after="0"/>
        <w:jc w:val="left"/>
        <w:rPr>
          <w:rFonts w:cs="Arial"/>
          <w:sz w:val="24"/>
        </w:rPr>
      </w:pPr>
      <w:r w:rsidRPr="00C2247C">
        <w:rPr>
          <w:rFonts w:cs="Arial"/>
          <w:sz w:val="24"/>
        </w:rPr>
        <w:tab/>
      </w:r>
    </w:p>
    <w:tbl>
      <w:tblPr>
        <w:tblW w:w="487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2775"/>
        <w:gridCol w:w="6019"/>
      </w:tblGrid>
      <w:tr w:rsidR="007628B0" w:rsidRPr="00C2247C" w14:paraId="37D4C8FD" w14:textId="77777777" w:rsidTr="00244649">
        <w:tc>
          <w:tcPr>
            <w:tcW w:w="1578" w:type="pct"/>
            <w:shd w:val="clear" w:color="auto" w:fill="D9D9D9" w:themeFill="background1" w:themeFillShade="D9"/>
            <w:tcMar>
              <w:top w:w="30" w:type="dxa"/>
              <w:left w:w="30" w:type="dxa"/>
              <w:bottom w:w="20" w:type="dxa"/>
              <w:right w:w="30" w:type="dxa"/>
            </w:tcMar>
          </w:tcPr>
          <w:p w14:paraId="3A162ECC" w14:textId="77777777" w:rsidR="007628B0" w:rsidRPr="00C2247C" w:rsidRDefault="007628B0" w:rsidP="00244649">
            <w:pPr>
              <w:spacing w:before="60" w:after="60"/>
              <w:jc w:val="left"/>
              <w:rPr>
                <w:rFonts w:cs="Arial"/>
                <w:b/>
                <w:sz w:val="24"/>
                <w:lang w:val="en-US" w:eastAsia="en-US"/>
              </w:rPr>
            </w:pPr>
            <w:r w:rsidRPr="00C2247C">
              <w:rPr>
                <w:rFonts w:cs="Arial"/>
                <w:b/>
                <w:sz w:val="24"/>
                <w:lang w:val="en-US" w:eastAsia="en-US"/>
              </w:rPr>
              <w:t>Term</w:t>
            </w:r>
          </w:p>
        </w:tc>
        <w:tc>
          <w:tcPr>
            <w:tcW w:w="3422" w:type="pct"/>
            <w:shd w:val="clear" w:color="auto" w:fill="D9D9D9" w:themeFill="background1" w:themeFillShade="D9"/>
          </w:tcPr>
          <w:p w14:paraId="000E18A9" w14:textId="77777777" w:rsidR="007628B0" w:rsidRPr="00C2247C" w:rsidRDefault="007628B0" w:rsidP="00244649">
            <w:pPr>
              <w:spacing w:before="60" w:after="60"/>
              <w:jc w:val="left"/>
              <w:rPr>
                <w:rFonts w:cs="Arial"/>
                <w:b/>
                <w:sz w:val="24"/>
                <w:lang w:val="en-US" w:eastAsia="en-US"/>
              </w:rPr>
            </w:pPr>
            <w:r w:rsidRPr="00C2247C">
              <w:rPr>
                <w:rFonts w:cs="Arial"/>
                <w:b/>
                <w:sz w:val="24"/>
                <w:lang w:val="en-US" w:eastAsia="en-US"/>
              </w:rPr>
              <w:t>Definition</w:t>
            </w:r>
          </w:p>
        </w:tc>
      </w:tr>
      <w:tr w:rsidR="007628B0" w:rsidRPr="00C2247C" w14:paraId="2789A1F2" w14:textId="77777777" w:rsidTr="00244649">
        <w:tc>
          <w:tcPr>
            <w:tcW w:w="1578" w:type="pct"/>
            <w:tcMar>
              <w:top w:w="30" w:type="dxa"/>
              <w:left w:w="30" w:type="dxa"/>
              <w:bottom w:w="20" w:type="dxa"/>
              <w:right w:w="30" w:type="dxa"/>
            </w:tcMar>
          </w:tcPr>
          <w:p w14:paraId="792F5139" w14:textId="77777777" w:rsidR="007628B0" w:rsidRPr="0075161F" w:rsidRDefault="007628B0" w:rsidP="0075161F">
            <w:pPr>
              <w:spacing w:before="60" w:after="60"/>
              <w:jc w:val="left"/>
              <w:rPr>
                <w:rFonts w:cs="Arial"/>
                <w:b/>
                <w:sz w:val="24"/>
                <w:lang w:val="en-US" w:eastAsia="en-US"/>
              </w:rPr>
            </w:pPr>
            <w:r w:rsidRPr="0075161F">
              <w:rPr>
                <w:rFonts w:cs="Arial"/>
                <w:b/>
                <w:sz w:val="24"/>
                <w:lang w:val="en-US" w:eastAsia="en-US"/>
              </w:rPr>
              <w:t xml:space="preserve">Case record review </w:t>
            </w:r>
          </w:p>
        </w:tc>
        <w:tc>
          <w:tcPr>
            <w:tcW w:w="3422" w:type="pct"/>
          </w:tcPr>
          <w:p w14:paraId="274BF1D8" w14:textId="01D4181E" w:rsidR="007628B0" w:rsidRPr="00C2247C" w:rsidRDefault="007628B0" w:rsidP="00244649">
            <w:pPr>
              <w:spacing w:before="60" w:after="60"/>
              <w:jc w:val="left"/>
              <w:rPr>
                <w:rFonts w:cs="Arial"/>
                <w:bCs/>
                <w:sz w:val="24"/>
                <w:lang w:val="en-US" w:eastAsia="en-US"/>
              </w:rPr>
            </w:pPr>
            <w:r w:rsidRPr="00C2247C">
              <w:rPr>
                <w:rFonts w:cs="Arial"/>
                <w:bCs/>
                <w:sz w:val="24"/>
                <w:lang w:val="en-US" w:eastAsia="en-US"/>
              </w:rPr>
              <w:t xml:space="preserve">Reviewing case records/notes to determine whether there were any problems in the care provided to the patient who died </w:t>
            </w:r>
            <w:r w:rsidR="002B213B" w:rsidRPr="00C2247C">
              <w:rPr>
                <w:rFonts w:cs="Arial"/>
                <w:bCs/>
                <w:sz w:val="24"/>
                <w:lang w:val="en-US" w:eastAsia="en-US"/>
              </w:rPr>
              <w:t>to</w:t>
            </w:r>
            <w:r w:rsidRPr="00C2247C">
              <w:rPr>
                <w:rFonts w:cs="Arial"/>
                <w:bCs/>
                <w:sz w:val="24"/>
                <w:lang w:val="en-US" w:eastAsia="en-US"/>
              </w:rPr>
              <w:t xml:space="preserve"> learn from what happened. The Royal College of Physicians Structured Judgement Review methodology provides an agreed template for this.</w:t>
            </w:r>
          </w:p>
        </w:tc>
      </w:tr>
      <w:tr w:rsidR="007628B0" w:rsidRPr="00C2247C" w14:paraId="4BA622BD" w14:textId="77777777" w:rsidTr="00C2247C">
        <w:trPr>
          <w:trHeight w:val="1395"/>
        </w:trPr>
        <w:tc>
          <w:tcPr>
            <w:tcW w:w="1578" w:type="pct"/>
            <w:tcMar>
              <w:top w:w="30" w:type="dxa"/>
              <w:left w:w="30" w:type="dxa"/>
              <w:bottom w:w="20" w:type="dxa"/>
              <w:right w:w="30" w:type="dxa"/>
            </w:tcMar>
          </w:tcPr>
          <w:p w14:paraId="52F44760" w14:textId="624A3DEE" w:rsidR="007628B0" w:rsidRPr="0075161F" w:rsidRDefault="007628B0" w:rsidP="0075161F">
            <w:pPr>
              <w:rPr>
                <w:rFonts w:cs="Arial"/>
                <w:b/>
                <w:sz w:val="24"/>
              </w:rPr>
            </w:pPr>
            <w:r w:rsidRPr="0075161F">
              <w:rPr>
                <w:rFonts w:cs="Arial"/>
                <w:b/>
                <w:sz w:val="24"/>
              </w:rPr>
              <w:t xml:space="preserve">Death certification      </w:t>
            </w:r>
          </w:p>
        </w:tc>
        <w:tc>
          <w:tcPr>
            <w:tcW w:w="3422" w:type="pct"/>
          </w:tcPr>
          <w:p w14:paraId="74005412" w14:textId="53A50241" w:rsidR="007628B0" w:rsidRPr="00C2247C" w:rsidRDefault="007628B0" w:rsidP="00C2247C">
            <w:pPr>
              <w:rPr>
                <w:rFonts w:cs="Arial"/>
                <w:sz w:val="24"/>
              </w:rPr>
            </w:pPr>
            <w:r w:rsidRPr="00C2247C">
              <w:rPr>
                <w:rFonts w:cs="Arial"/>
                <w:sz w:val="24"/>
              </w:rPr>
              <w:t xml:space="preserve">The process of certifying, </w:t>
            </w:r>
            <w:r w:rsidR="002B213B" w:rsidRPr="00C2247C">
              <w:rPr>
                <w:rFonts w:cs="Arial"/>
                <w:sz w:val="24"/>
              </w:rPr>
              <w:t>recording,</w:t>
            </w:r>
            <w:r w:rsidRPr="00C2247C">
              <w:rPr>
                <w:rFonts w:cs="Arial"/>
                <w:sz w:val="24"/>
              </w:rPr>
              <w:t xml:space="preserve"> and registering death, the causes of death and any concerns about the care provided. This process includes identifying deaths for referral to the coroner.</w:t>
            </w:r>
          </w:p>
        </w:tc>
      </w:tr>
      <w:tr w:rsidR="007628B0" w:rsidRPr="00C2247C" w14:paraId="5F90C9AD" w14:textId="77777777" w:rsidTr="00244649">
        <w:tc>
          <w:tcPr>
            <w:tcW w:w="1578" w:type="pct"/>
            <w:tcMar>
              <w:top w:w="30" w:type="dxa"/>
              <w:left w:w="30" w:type="dxa"/>
              <w:bottom w:w="20" w:type="dxa"/>
              <w:right w:w="30" w:type="dxa"/>
            </w:tcMar>
          </w:tcPr>
          <w:p w14:paraId="3F8F799D" w14:textId="77777777" w:rsidR="007628B0" w:rsidRPr="0075161F" w:rsidRDefault="007628B0" w:rsidP="0075161F">
            <w:pPr>
              <w:rPr>
                <w:rFonts w:cs="Arial"/>
                <w:b/>
                <w:sz w:val="24"/>
              </w:rPr>
            </w:pPr>
            <w:r w:rsidRPr="0075161F">
              <w:rPr>
                <w:rFonts w:cs="Arial"/>
                <w:b/>
                <w:sz w:val="24"/>
              </w:rPr>
              <w:t>Medical Examiner Role</w:t>
            </w:r>
          </w:p>
        </w:tc>
        <w:tc>
          <w:tcPr>
            <w:tcW w:w="3422" w:type="pct"/>
          </w:tcPr>
          <w:p w14:paraId="5948F94C" w14:textId="30357708" w:rsidR="007628B0" w:rsidRPr="00C2247C" w:rsidRDefault="007628B0" w:rsidP="00244649">
            <w:pPr>
              <w:rPr>
                <w:rFonts w:cs="Arial"/>
                <w:sz w:val="24"/>
              </w:rPr>
            </w:pPr>
            <w:r w:rsidRPr="00C2247C">
              <w:rPr>
                <w:rFonts w:cs="Arial"/>
                <w:sz w:val="24"/>
              </w:rPr>
              <w:t xml:space="preserve">Medical examiners are senior medical doctors who are contracted for a number of sessions a week to provide independent scrutiny of the causes of death, outside </w:t>
            </w:r>
            <w:r w:rsidRPr="00C2247C">
              <w:rPr>
                <w:rFonts w:cs="Arial"/>
                <w:sz w:val="24"/>
              </w:rPr>
              <w:lastRenderedPageBreak/>
              <w:t>their usual clinical duties. They are trained in the legal and clinical elements of death certification processes.</w:t>
            </w:r>
          </w:p>
        </w:tc>
      </w:tr>
      <w:tr w:rsidR="00152FE7" w:rsidRPr="00C2247C" w14:paraId="530D2445" w14:textId="77777777" w:rsidTr="00244649">
        <w:tc>
          <w:tcPr>
            <w:tcW w:w="1578" w:type="pct"/>
            <w:tcMar>
              <w:top w:w="30" w:type="dxa"/>
              <w:left w:w="30" w:type="dxa"/>
              <w:bottom w:w="20" w:type="dxa"/>
              <w:right w:w="30" w:type="dxa"/>
            </w:tcMar>
          </w:tcPr>
          <w:p w14:paraId="2A2D9E0E" w14:textId="162359A1" w:rsidR="00152FE7" w:rsidRPr="00C2247C" w:rsidRDefault="00152FE7" w:rsidP="00244649">
            <w:pPr>
              <w:spacing w:before="60" w:after="60"/>
              <w:jc w:val="left"/>
              <w:rPr>
                <w:rFonts w:cs="Arial"/>
                <w:b/>
                <w:sz w:val="24"/>
                <w:lang w:val="en-US" w:eastAsia="en-US"/>
              </w:rPr>
            </w:pPr>
            <w:r>
              <w:rPr>
                <w:rFonts w:cs="Arial"/>
                <w:b/>
                <w:sz w:val="24"/>
                <w:lang w:val="en-US" w:eastAsia="en-US"/>
              </w:rPr>
              <w:lastRenderedPageBreak/>
              <w:t>Learning from Incidents and Mortality Meeting (LIMM)</w:t>
            </w:r>
          </w:p>
        </w:tc>
        <w:tc>
          <w:tcPr>
            <w:tcW w:w="3422" w:type="pct"/>
          </w:tcPr>
          <w:p w14:paraId="33154BE3" w14:textId="6CAC09E6" w:rsidR="00152FE7" w:rsidRPr="00C2247C" w:rsidRDefault="00152FE7" w:rsidP="00244649">
            <w:pPr>
              <w:spacing w:before="60" w:after="60"/>
              <w:jc w:val="left"/>
              <w:rPr>
                <w:rFonts w:cs="Arial"/>
                <w:bCs/>
                <w:sz w:val="24"/>
                <w:lang w:val="en-US" w:eastAsia="en-US"/>
              </w:rPr>
            </w:pPr>
            <w:r>
              <w:rPr>
                <w:rFonts w:cs="Arial"/>
                <w:bCs/>
                <w:sz w:val="24"/>
                <w:lang w:val="en-US" w:eastAsia="en-US"/>
              </w:rPr>
              <w:t xml:space="preserve">Fortnightly meeting to review all deaths within scope and </w:t>
            </w:r>
            <w:r w:rsidRPr="00A3110A">
              <w:rPr>
                <w:rFonts w:cs="Arial"/>
                <w:bCs/>
                <w:sz w:val="24"/>
                <w:lang w:val="en-US" w:eastAsia="en-US"/>
              </w:rPr>
              <w:t xml:space="preserve">severity </w:t>
            </w:r>
            <w:r>
              <w:rPr>
                <w:rFonts w:cs="Arial"/>
                <w:bCs/>
                <w:sz w:val="24"/>
                <w:lang w:val="en-US" w:eastAsia="en-US"/>
              </w:rPr>
              <w:t>4 incidents</w:t>
            </w:r>
            <w:r w:rsidR="00100A69">
              <w:rPr>
                <w:rFonts w:cs="Arial"/>
                <w:bCs/>
                <w:sz w:val="24"/>
                <w:lang w:val="en-US" w:eastAsia="en-US"/>
              </w:rPr>
              <w:t xml:space="preserve"> and other incidents with potential for organisational learning. </w:t>
            </w:r>
          </w:p>
        </w:tc>
      </w:tr>
      <w:tr w:rsidR="007628B0" w:rsidRPr="00C2247C" w14:paraId="76D1955B" w14:textId="77777777" w:rsidTr="00244649">
        <w:tc>
          <w:tcPr>
            <w:tcW w:w="1578" w:type="pct"/>
            <w:tcMar>
              <w:top w:w="30" w:type="dxa"/>
              <w:left w:w="30" w:type="dxa"/>
              <w:bottom w:w="20" w:type="dxa"/>
              <w:right w:w="30" w:type="dxa"/>
            </w:tcMar>
          </w:tcPr>
          <w:p w14:paraId="33E70FF9" w14:textId="77777777" w:rsidR="007628B0" w:rsidRPr="00C2247C" w:rsidRDefault="007628B0" w:rsidP="00244649">
            <w:pPr>
              <w:spacing w:before="60" w:after="60"/>
              <w:jc w:val="left"/>
              <w:rPr>
                <w:rFonts w:cs="Arial"/>
                <w:b/>
                <w:bCs/>
                <w:sz w:val="24"/>
                <w:lang w:val="en-US" w:eastAsia="en-US"/>
              </w:rPr>
            </w:pPr>
            <w:r w:rsidRPr="00C2247C">
              <w:rPr>
                <w:rFonts w:cs="Arial"/>
                <w:b/>
                <w:bCs/>
                <w:sz w:val="24"/>
                <w:lang w:val="en-US" w:eastAsia="en-US"/>
              </w:rPr>
              <w:t xml:space="preserve">Investigation </w:t>
            </w:r>
          </w:p>
        </w:tc>
        <w:tc>
          <w:tcPr>
            <w:tcW w:w="3422" w:type="pct"/>
          </w:tcPr>
          <w:p w14:paraId="425CA277" w14:textId="5E2497F0" w:rsidR="007628B0" w:rsidRPr="00C2247C" w:rsidRDefault="007628B0" w:rsidP="00244649">
            <w:pPr>
              <w:spacing w:before="60" w:after="60"/>
              <w:jc w:val="left"/>
              <w:rPr>
                <w:rFonts w:cs="Arial"/>
                <w:bCs/>
                <w:sz w:val="24"/>
                <w:lang w:val="en-US" w:eastAsia="en-US"/>
              </w:rPr>
            </w:pPr>
            <w:r w:rsidRPr="00C2247C">
              <w:rPr>
                <w:rFonts w:cs="Arial"/>
                <w:bCs/>
                <w:sz w:val="24"/>
                <w:lang w:val="en-US" w:eastAsia="en-US"/>
              </w:rPr>
              <w:t xml:space="preserve">The act or process of investigating; a systematic analysis of what happened, how it happened and why.  This draws on evidence, including physical evidence, witness accounts, policies and procedures, guidance, good </w:t>
            </w:r>
            <w:r w:rsidR="002B213B" w:rsidRPr="00C2247C">
              <w:rPr>
                <w:rFonts w:cs="Arial"/>
                <w:bCs/>
                <w:sz w:val="24"/>
                <w:lang w:val="en-US" w:eastAsia="en-US"/>
              </w:rPr>
              <w:t>practice,</w:t>
            </w:r>
            <w:r w:rsidRPr="00C2247C">
              <w:rPr>
                <w:rFonts w:cs="Arial"/>
                <w:bCs/>
                <w:sz w:val="24"/>
                <w:lang w:val="en-US" w:eastAsia="en-US"/>
              </w:rPr>
              <w:t xml:space="preserve"> and observation – </w:t>
            </w:r>
            <w:r w:rsidR="002B213B" w:rsidRPr="00C2247C">
              <w:rPr>
                <w:rFonts w:cs="Arial"/>
                <w:bCs/>
                <w:sz w:val="24"/>
                <w:lang w:val="en-US" w:eastAsia="en-US"/>
              </w:rPr>
              <w:t>to</w:t>
            </w:r>
            <w:r w:rsidRPr="00C2247C">
              <w:rPr>
                <w:rFonts w:cs="Arial"/>
                <w:bCs/>
                <w:sz w:val="24"/>
                <w:lang w:val="en-US" w:eastAsia="en-US"/>
              </w:rPr>
              <w:t xml:space="preserve"> identify the problems in care or service delivery that preceded an incident to understand how and why it occurred.</w:t>
            </w:r>
          </w:p>
        </w:tc>
      </w:tr>
      <w:tr w:rsidR="007628B0" w:rsidRPr="00C2247C" w14:paraId="4A1A19F2" w14:textId="77777777" w:rsidTr="00244649">
        <w:tc>
          <w:tcPr>
            <w:tcW w:w="1578" w:type="pct"/>
            <w:tcMar>
              <w:top w:w="30" w:type="dxa"/>
              <w:left w:w="30" w:type="dxa"/>
              <w:bottom w:w="20" w:type="dxa"/>
              <w:right w:w="30" w:type="dxa"/>
            </w:tcMar>
          </w:tcPr>
          <w:p w14:paraId="615BB400" w14:textId="77777777" w:rsidR="007628B0" w:rsidRPr="00C2247C" w:rsidRDefault="007628B0" w:rsidP="00244649">
            <w:pPr>
              <w:spacing w:before="60" w:after="60"/>
              <w:jc w:val="left"/>
              <w:rPr>
                <w:rFonts w:cs="Arial"/>
                <w:b/>
                <w:bCs/>
                <w:sz w:val="24"/>
                <w:lang w:val="en-US" w:eastAsia="en-US"/>
              </w:rPr>
            </w:pPr>
            <w:r w:rsidRPr="00C2247C">
              <w:rPr>
                <w:rFonts w:cs="Arial"/>
                <w:b/>
                <w:sz w:val="24"/>
              </w:rPr>
              <w:t>Death due to a problem in care</w:t>
            </w:r>
          </w:p>
        </w:tc>
        <w:tc>
          <w:tcPr>
            <w:tcW w:w="3422" w:type="pct"/>
          </w:tcPr>
          <w:p w14:paraId="16154C3A" w14:textId="0F2E2972" w:rsidR="007628B0" w:rsidRPr="00C2247C" w:rsidRDefault="007628B0" w:rsidP="00244649">
            <w:pPr>
              <w:spacing w:before="60" w:after="60"/>
              <w:jc w:val="left"/>
              <w:rPr>
                <w:rFonts w:cs="Arial"/>
                <w:bCs/>
                <w:sz w:val="24"/>
                <w:lang w:val="en-US" w:eastAsia="en-US"/>
              </w:rPr>
            </w:pPr>
            <w:r w:rsidRPr="00C2247C">
              <w:rPr>
                <w:rFonts w:cs="Arial"/>
                <w:sz w:val="24"/>
              </w:rPr>
              <w:t xml:space="preserve">A death that has been clinically assessed using a recognised method of case record review, where the reviewers feel that the death is more likely than not to have resulted from problems in care delivery/service provision. (Note, this is not a legal term and is not the same as </w:t>
            </w:r>
            <w:r w:rsidR="00A3110A">
              <w:rPr>
                <w:rFonts w:cs="Arial"/>
                <w:sz w:val="24"/>
              </w:rPr>
              <w:t>‘</w:t>
            </w:r>
            <w:r w:rsidR="002B213B" w:rsidRPr="00C2247C">
              <w:rPr>
                <w:rFonts w:cs="Arial"/>
                <w:sz w:val="24"/>
              </w:rPr>
              <w:t>cause</w:t>
            </w:r>
            <w:r w:rsidRPr="00C2247C">
              <w:rPr>
                <w:rFonts w:cs="Arial"/>
                <w:sz w:val="24"/>
              </w:rPr>
              <w:t xml:space="preserve"> of death’).</w:t>
            </w:r>
          </w:p>
        </w:tc>
      </w:tr>
      <w:tr w:rsidR="007628B0" w:rsidRPr="00C2247C" w14:paraId="7A8ED312" w14:textId="77777777" w:rsidTr="00244649">
        <w:tc>
          <w:tcPr>
            <w:tcW w:w="1578" w:type="pct"/>
            <w:tcMar>
              <w:top w:w="30" w:type="dxa"/>
              <w:left w:w="30" w:type="dxa"/>
              <w:bottom w:w="20" w:type="dxa"/>
              <w:right w:w="30" w:type="dxa"/>
            </w:tcMar>
          </w:tcPr>
          <w:p w14:paraId="666240B0" w14:textId="77777777" w:rsidR="007628B0" w:rsidRPr="00C2247C" w:rsidRDefault="007628B0" w:rsidP="00244649">
            <w:pPr>
              <w:spacing w:before="60" w:after="60"/>
              <w:jc w:val="left"/>
              <w:rPr>
                <w:rFonts w:cs="Arial"/>
                <w:b/>
                <w:bCs/>
                <w:sz w:val="24"/>
                <w:lang w:val="en-US" w:eastAsia="en-US"/>
              </w:rPr>
            </w:pPr>
            <w:r w:rsidRPr="00C2247C">
              <w:rPr>
                <w:rFonts w:cs="Arial"/>
                <w:b/>
                <w:sz w:val="24"/>
              </w:rPr>
              <w:t>Deaths in scope</w:t>
            </w:r>
          </w:p>
        </w:tc>
        <w:tc>
          <w:tcPr>
            <w:tcW w:w="3422" w:type="pct"/>
          </w:tcPr>
          <w:p w14:paraId="62588FBB" w14:textId="77777777" w:rsidR="007628B0" w:rsidRPr="00C2247C" w:rsidRDefault="007628B0" w:rsidP="00244649">
            <w:pPr>
              <w:spacing w:before="60" w:after="60"/>
              <w:jc w:val="left"/>
              <w:rPr>
                <w:rFonts w:cs="Arial"/>
                <w:bCs/>
                <w:sz w:val="24"/>
                <w:lang w:val="en-US" w:eastAsia="en-US"/>
              </w:rPr>
            </w:pPr>
            <w:r w:rsidRPr="00C2247C">
              <w:rPr>
                <w:rFonts w:cs="Arial"/>
                <w:bCs/>
                <w:kern w:val="36"/>
                <w:sz w:val="24"/>
              </w:rPr>
              <w:t>Deaths that the Trust have determined require further review under this policy.</w:t>
            </w:r>
          </w:p>
        </w:tc>
      </w:tr>
      <w:tr w:rsidR="007628B0" w:rsidRPr="00C2247C" w14:paraId="688C3D9A" w14:textId="77777777" w:rsidTr="00244649">
        <w:tc>
          <w:tcPr>
            <w:tcW w:w="1578" w:type="pct"/>
            <w:tcMar>
              <w:top w:w="30" w:type="dxa"/>
              <w:left w:w="30" w:type="dxa"/>
              <w:bottom w:w="20" w:type="dxa"/>
              <w:right w:w="30" w:type="dxa"/>
            </w:tcMar>
          </w:tcPr>
          <w:p w14:paraId="54444715" w14:textId="0E24304C" w:rsidR="007628B0" w:rsidRPr="00C2247C" w:rsidRDefault="007628B0" w:rsidP="00244649">
            <w:pPr>
              <w:spacing w:before="60" w:after="60"/>
              <w:jc w:val="left"/>
              <w:rPr>
                <w:rFonts w:cs="Arial"/>
                <w:b/>
                <w:bCs/>
                <w:sz w:val="24"/>
                <w:lang w:val="en-US" w:eastAsia="en-US"/>
              </w:rPr>
            </w:pPr>
            <w:r w:rsidRPr="00C2247C">
              <w:rPr>
                <w:rFonts w:cs="Arial"/>
                <w:b/>
                <w:bCs/>
                <w:sz w:val="24"/>
              </w:rPr>
              <w:t>Investigation / Review</w:t>
            </w:r>
          </w:p>
        </w:tc>
        <w:tc>
          <w:tcPr>
            <w:tcW w:w="3422" w:type="pct"/>
          </w:tcPr>
          <w:p w14:paraId="5A67E00C" w14:textId="2C40ADB0" w:rsidR="007628B0" w:rsidRPr="00C2247C" w:rsidRDefault="007628B0" w:rsidP="00C2247C">
            <w:pPr>
              <w:spacing w:before="0"/>
              <w:rPr>
                <w:rFonts w:cs="Arial"/>
                <w:bCs/>
                <w:sz w:val="24"/>
              </w:rPr>
            </w:pPr>
            <w:r w:rsidRPr="00C2247C">
              <w:rPr>
                <w:rFonts w:cs="Arial"/>
                <w:bCs/>
                <w:sz w:val="24"/>
              </w:rPr>
              <w:t xml:space="preserve">The act or process of investigating or reviewing an incident; a systematic analysis of what happened, how it happened and why.  This draws on evidence, including physical evidence, witness accounts, policies and procedures, guidance, good </w:t>
            </w:r>
            <w:r w:rsidR="002B213B" w:rsidRPr="00C2247C">
              <w:rPr>
                <w:rFonts w:cs="Arial"/>
                <w:bCs/>
                <w:sz w:val="24"/>
              </w:rPr>
              <w:t>practice,</w:t>
            </w:r>
            <w:r w:rsidRPr="00C2247C">
              <w:rPr>
                <w:rFonts w:cs="Arial"/>
                <w:bCs/>
                <w:sz w:val="24"/>
              </w:rPr>
              <w:t xml:space="preserve"> and observation – in order to identify the problems in care or service delivery that preceded an incident to understand how and why it occurred.</w:t>
            </w:r>
          </w:p>
          <w:p w14:paraId="5E0B0A05" w14:textId="77777777" w:rsidR="007628B0" w:rsidRPr="00C2247C" w:rsidRDefault="007628B0" w:rsidP="00244649">
            <w:pPr>
              <w:spacing w:before="60" w:after="60"/>
              <w:jc w:val="left"/>
              <w:rPr>
                <w:rFonts w:cs="Arial"/>
                <w:bCs/>
                <w:sz w:val="24"/>
                <w:lang w:val="en-US" w:eastAsia="en-US"/>
              </w:rPr>
            </w:pPr>
            <w:r w:rsidRPr="00C2247C">
              <w:rPr>
                <w:rFonts w:cs="Arial"/>
                <w:sz w:val="24"/>
              </w:rPr>
              <w:t>Investigation can be triggered by, and follow, case record review, or may be initiated without a case record review happening first.</w:t>
            </w:r>
          </w:p>
        </w:tc>
      </w:tr>
      <w:tr w:rsidR="007628B0" w:rsidRPr="00C2247C" w14:paraId="31971AD9" w14:textId="77777777" w:rsidTr="00244649">
        <w:tc>
          <w:tcPr>
            <w:tcW w:w="1578" w:type="pct"/>
            <w:tcMar>
              <w:top w:w="30" w:type="dxa"/>
              <w:left w:w="30" w:type="dxa"/>
              <w:bottom w:w="20" w:type="dxa"/>
              <w:right w:w="30" w:type="dxa"/>
            </w:tcMar>
          </w:tcPr>
          <w:p w14:paraId="1757FDCD" w14:textId="413590E2" w:rsidR="00BC3020" w:rsidRDefault="007628B0" w:rsidP="00244649">
            <w:pPr>
              <w:spacing w:before="60" w:after="60"/>
              <w:jc w:val="left"/>
              <w:rPr>
                <w:rFonts w:cs="Arial"/>
                <w:b/>
                <w:color w:val="464B51"/>
                <w:sz w:val="24"/>
                <w:shd w:val="clear" w:color="auto" w:fill="E2E3E7"/>
              </w:rPr>
            </w:pPr>
            <w:r w:rsidRPr="00BC3020">
              <w:rPr>
                <w:rFonts w:cs="Arial"/>
                <w:b/>
                <w:sz w:val="24"/>
              </w:rPr>
              <w:t>LeDeR</w:t>
            </w:r>
          </w:p>
          <w:p w14:paraId="003B1669" w14:textId="77777777" w:rsidR="00BC3020" w:rsidRDefault="00BC3020" w:rsidP="00244649">
            <w:pPr>
              <w:spacing w:before="60" w:after="60"/>
              <w:jc w:val="left"/>
              <w:rPr>
                <w:rFonts w:cs="Arial"/>
                <w:b/>
                <w:color w:val="464B51"/>
                <w:sz w:val="24"/>
                <w:shd w:val="clear" w:color="auto" w:fill="E2E3E7"/>
              </w:rPr>
            </w:pPr>
          </w:p>
          <w:p w14:paraId="67242A57" w14:textId="3A38C420" w:rsidR="007628B0" w:rsidRPr="00BC3020" w:rsidRDefault="007628B0" w:rsidP="00244649">
            <w:pPr>
              <w:spacing w:before="60" w:after="60"/>
              <w:jc w:val="left"/>
              <w:rPr>
                <w:rFonts w:cs="Arial"/>
                <w:b/>
                <w:sz w:val="24"/>
                <w:lang w:val="en-US" w:eastAsia="en-US"/>
              </w:rPr>
            </w:pPr>
          </w:p>
        </w:tc>
        <w:tc>
          <w:tcPr>
            <w:tcW w:w="3422" w:type="pct"/>
          </w:tcPr>
          <w:p w14:paraId="1C277A9A" w14:textId="54261794" w:rsidR="007628B0" w:rsidRPr="00BC3020" w:rsidRDefault="00DC63B5" w:rsidP="00BC3020">
            <w:pPr>
              <w:spacing w:before="60" w:after="60"/>
              <w:jc w:val="left"/>
              <w:rPr>
                <w:rFonts w:cs="Arial"/>
                <w:bCs/>
                <w:sz w:val="24"/>
                <w:lang w:val="en-US" w:eastAsia="en-US"/>
              </w:rPr>
            </w:pPr>
            <w:r w:rsidRPr="00DC63B5">
              <w:rPr>
                <w:rFonts w:cs="Arial"/>
                <w:color w:val="000000" w:themeColor="text1"/>
                <w:sz w:val="24"/>
              </w:rPr>
              <w:t>LeDer was originally introduced in 2015 in response to significant ongoing concerns about the likelihood of premature deaths of people with</w:t>
            </w:r>
            <w:r w:rsidR="00825962">
              <w:rPr>
                <w:rFonts w:cs="Arial"/>
                <w:color w:val="000000" w:themeColor="text1"/>
                <w:sz w:val="24"/>
              </w:rPr>
              <w:t xml:space="preserve"> a</w:t>
            </w:r>
            <w:r w:rsidRPr="00DC63B5">
              <w:rPr>
                <w:rFonts w:cs="Arial"/>
                <w:color w:val="000000" w:themeColor="text1"/>
                <w:sz w:val="24"/>
              </w:rPr>
              <w:t xml:space="preserve"> learning disabilit</w:t>
            </w:r>
            <w:r w:rsidR="00825962">
              <w:rPr>
                <w:rFonts w:cs="Arial"/>
                <w:color w:val="000000" w:themeColor="text1"/>
                <w:sz w:val="24"/>
              </w:rPr>
              <w:t>y</w:t>
            </w:r>
            <w:r w:rsidR="00BC3020">
              <w:rPr>
                <w:rFonts w:cs="Arial"/>
                <w:color w:val="000000" w:themeColor="text1"/>
                <w:sz w:val="24"/>
                <w:shd w:val="clear" w:color="auto" w:fill="FFFFFF"/>
              </w:rPr>
              <w:t xml:space="preserve">. Since June 2021 </w:t>
            </w:r>
            <w:r w:rsidR="00BC3020" w:rsidRPr="00BC3020">
              <w:rPr>
                <w:rFonts w:cs="Arial"/>
                <w:color w:val="000000" w:themeColor="text1"/>
                <w:sz w:val="24"/>
                <w:shd w:val="clear" w:color="auto" w:fill="FFFFFF"/>
              </w:rPr>
              <w:t>deaths of adults who have a diagnosis of autism, but no learning disability will be included in the process.</w:t>
            </w:r>
            <w:r w:rsidR="00BC3020">
              <w:rPr>
                <w:rFonts w:cs="Arial"/>
                <w:color w:val="000000" w:themeColor="text1"/>
                <w:sz w:val="24"/>
                <w:shd w:val="clear" w:color="auto" w:fill="FFFFFF"/>
              </w:rPr>
              <w:t xml:space="preserve"> </w:t>
            </w:r>
            <w:r w:rsidR="00085CD8">
              <w:rPr>
                <w:rFonts w:cs="Arial"/>
                <w:color w:val="000000" w:themeColor="text1"/>
                <w:sz w:val="24"/>
                <w:shd w:val="clear" w:color="auto" w:fill="FFFFFF"/>
              </w:rPr>
              <w:t>The</w:t>
            </w:r>
            <w:r>
              <w:rPr>
                <w:rFonts w:cs="Arial"/>
                <w:color w:val="000000" w:themeColor="text1"/>
                <w:sz w:val="24"/>
                <w:shd w:val="clear" w:color="auto" w:fill="FFFFFF"/>
              </w:rPr>
              <w:t xml:space="preserve"> name has changed from a Learning Disability Mortality review to </w:t>
            </w:r>
            <w:r w:rsidR="00BC3020" w:rsidRPr="00DC63B5">
              <w:rPr>
                <w:rFonts w:cs="Arial"/>
                <w:b/>
                <w:bCs/>
                <w:color w:val="000000" w:themeColor="text1"/>
                <w:sz w:val="24"/>
                <w:shd w:val="clear" w:color="auto" w:fill="FFFFFF"/>
              </w:rPr>
              <w:t>Learning from Life and Death</w:t>
            </w:r>
            <w:r w:rsidRPr="00DC63B5">
              <w:rPr>
                <w:rFonts w:cs="Arial"/>
                <w:b/>
                <w:bCs/>
                <w:color w:val="000000" w:themeColor="text1"/>
                <w:sz w:val="24"/>
                <w:shd w:val="clear" w:color="auto" w:fill="FFFFFF"/>
              </w:rPr>
              <w:t xml:space="preserve"> Review</w:t>
            </w:r>
            <w:r w:rsidR="00BC3020" w:rsidRPr="00DC63B5">
              <w:rPr>
                <w:rFonts w:cs="Arial"/>
                <w:b/>
                <w:bCs/>
                <w:color w:val="000000" w:themeColor="text1"/>
                <w:sz w:val="24"/>
                <w:shd w:val="clear" w:color="auto" w:fill="FFFFFF"/>
              </w:rPr>
              <w:t>.</w:t>
            </w:r>
            <w:r w:rsidR="00BC3020">
              <w:rPr>
                <w:rFonts w:cs="Arial"/>
                <w:color w:val="000000" w:themeColor="text1"/>
                <w:sz w:val="24"/>
                <w:shd w:val="clear" w:color="auto" w:fill="FFFFFF"/>
              </w:rPr>
              <w:t xml:space="preserve"> </w:t>
            </w:r>
            <w:r w:rsidR="00BC3020" w:rsidRPr="00BC3020">
              <w:rPr>
                <w:rFonts w:cs="Arial"/>
                <w:color w:val="000000" w:themeColor="text1"/>
                <w:sz w:val="24"/>
                <w:shd w:val="clear" w:color="auto" w:fill="FFFFFF"/>
              </w:rPr>
              <w:t xml:space="preserve"> LeDeR reviews will be completed for all </w:t>
            </w:r>
            <w:r w:rsidR="00825962">
              <w:rPr>
                <w:rFonts w:cs="Arial"/>
                <w:color w:val="000000" w:themeColor="text1"/>
                <w:sz w:val="24"/>
                <w:shd w:val="clear" w:color="auto" w:fill="FFFFFF"/>
              </w:rPr>
              <w:t xml:space="preserve">individuals aged 4 and over with a learning disability and individuals </w:t>
            </w:r>
            <w:r w:rsidR="00BC3020" w:rsidRPr="00BC3020">
              <w:rPr>
                <w:rFonts w:cs="Arial"/>
                <w:color w:val="000000" w:themeColor="text1"/>
                <w:sz w:val="24"/>
                <w:shd w:val="clear" w:color="auto" w:fill="FFFFFF"/>
              </w:rPr>
              <w:t xml:space="preserve">over the age of 18 who have been told by a doctor that they are autistic and had this written in their medical record. All reviews </w:t>
            </w:r>
            <w:r w:rsidR="00BC3020" w:rsidRPr="00BC3020">
              <w:rPr>
                <w:rFonts w:cs="Arial"/>
                <w:color w:val="000000" w:themeColor="text1"/>
                <w:sz w:val="24"/>
                <w:shd w:val="clear" w:color="auto" w:fill="FFFFFF"/>
              </w:rPr>
              <w:lastRenderedPageBreak/>
              <w:t xml:space="preserve">of people who are autistic without a learning disability will be focussed reviews initially to develop data and learning. </w:t>
            </w:r>
          </w:p>
        </w:tc>
      </w:tr>
      <w:tr w:rsidR="007628B0" w:rsidRPr="00C2247C" w14:paraId="1CAB0E91" w14:textId="77777777" w:rsidTr="00244649">
        <w:tc>
          <w:tcPr>
            <w:tcW w:w="1578" w:type="pct"/>
            <w:tcMar>
              <w:top w:w="30" w:type="dxa"/>
              <w:left w:w="30" w:type="dxa"/>
              <w:bottom w:w="20" w:type="dxa"/>
              <w:right w:w="30" w:type="dxa"/>
            </w:tcMar>
          </w:tcPr>
          <w:p w14:paraId="0CEDB374" w14:textId="77777777" w:rsidR="007628B0" w:rsidRPr="00C2247C" w:rsidRDefault="007628B0" w:rsidP="00244649">
            <w:pPr>
              <w:spacing w:before="60" w:after="60"/>
              <w:jc w:val="left"/>
              <w:rPr>
                <w:rFonts w:cs="Arial"/>
                <w:b/>
                <w:bCs/>
                <w:sz w:val="24"/>
                <w:lang w:val="en-US" w:eastAsia="en-US"/>
              </w:rPr>
            </w:pPr>
            <w:r w:rsidRPr="00C2247C">
              <w:rPr>
                <w:rFonts w:cs="Arial"/>
                <w:b/>
                <w:sz w:val="24"/>
              </w:rPr>
              <w:lastRenderedPageBreak/>
              <w:t>Main provider of care</w:t>
            </w:r>
          </w:p>
        </w:tc>
        <w:tc>
          <w:tcPr>
            <w:tcW w:w="3422" w:type="pct"/>
          </w:tcPr>
          <w:p w14:paraId="160A1A99" w14:textId="77777777" w:rsidR="007628B0" w:rsidRPr="00C2247C" w:rsidRDefault="007628B0" w:rsidP="00244649">
            <w:pPr>
              <w:spacing w:before="60" w:after="60"/>
              <w:jc w:val="left"/>
              <w:rPr>
                <w:rFonts w:cs="Arial"/>
                <w:bCs/>
                <w:sz w:val="24"/>
                <w:lang w:val="en-US" w:eastAsia="en-US"/>
              </w:rPr>
            </w:pPr>
            <w:r w:rsidRPr="00C2247C">
              <w:rPr>
                <w:rFonts w:cs="Arial"/>
                <w:bCs/>
                <w:kern w:val="36"/>
                <w:sz w:val="24"/>
              </w:rPr>
              <w:t>When the Trust is the main provider of care.</w:t>
            </w:r>
          </w:p>
        </w:tc>
      </w:tr>
      <w:tr w:rsidR="007628B0" w:rsidRPr="00C2247C" w14:paraId="2FE286BA" w14:textId="77777777" w:rsidTr="00244649">
        <w:tc>
          <w:tcPr>
            <w:tcW w:w="1578" w:type="pct"/>
            <w:tcMar>
              <w:top w:w="30" w:type="dxa"/>
              <w:left w:w="30" w:type="dxa"/>
              <w:bottom w:w="20" w:type="dxa"/>
              <w:right w:w="30" w:type="dxa"/>
            </w:tcMar>
          </w:tcPr>
          <w:p w14:paraId="695A7FE1" w14:textId="77777777" w:rsidR="007628B0" w:rsidRPr="00C2247C" w:rsidRDefault="007628B0" w:rsidP="00244649">
            <w:pPr>
              <w:spacing w:before="60" w:after="60"/>
              <w:jc w:val="left"/>
              <w:rPr>
                <w:rFonts w:cs="Arial"/>
                <w:b/>
                <w:sz w:val="24"/>
              </w:rPr>
            </w:pPr>
            <w:r w:rsidRPr="00C2247C">
              <w:rPr>
                <w:rFonts w:cs="Arial"/>
                <w:b/>
                <w:sz w:val="24"/>
              </w:rPr>
              <w:t>Fact Find review</w:t>
            </w:r>
          </w:p>
        </w:tc>
        <w:tc>
          <w:tcPr>
            <w:tcW w:w="3422" w:type="pct"/>
          </w:tcPr>
          <w:p w14:paraId="4FE8C536" w14:textId="77777777" w:rsidR="007628B0" w:rsidRPr="00C2247C" w:rsidRDefault="007628B0" w:rsidP="00244649">
            <w:pPr>
              <w:spacing w:before="60" w:after="60"/>
              <w:jc w:val="left"/>
              <w:rPr>
                <w:rFonts w:cs="Arial"/>
                <w:bCs/>
                <w:kern w:val="36"/>
                <w:sz w:val="24"/>
              </w:rPr>
            </w:pPr>
            <w:r w:rsidRPr="00C2247C">
              <w:rPr>
                <w:rFonts w:cs="Arial"/>
                <w:bCs/>
                <w:sz w:val="24"/>
              </w:rPr>
              <w:t xml:space="preserve">Following review of the clinical records by the DATIX incident from handler, the fact find section is completed providing a summary of the care provided and identify good practice and any areas for further review.  </w:t>
            </w:r>
          </w:p>
        </w:tc>
      </w:tr>
      <w:tr w:rsidR="007628B0" w:rsidRPr="00C2247C" w14:paraId="09278CFE" w14:textId="77777777" w:rsidTr="00244649">
        <w:tc>
          <w:tcPr>
            <w:tcW w:w="1578" w:type="pct"/>
            <w:tcMar>
              <w:top w:w="30" w:type="dxa"/>
              <w:left w:w="30" w:type="dxa"/>
              <w:bottom w:w="20" w:type="dxa"/>
              <w:right w:w="30" w:type="dxa"/>
            </w:tcMar>
          </w:tcPr>
          <w:p w14:paraId="20576CCE" w14:textId="77777777" w:rsidR="007628B0" w:rsidRPr="00C2247C" w:rsidRDefault="007628B0" w:rsidP="00244649">
            <w:pPr>
              <w:spacing w:before="60" w:after="60"/>
              <w:jc w:val="left"/>
              <w:rPr>
                <w:rFonts w:cs="Arial"/>
                <w:sz w:val="24"/>
              </w:rPr>
            </w:pPr>
            <w:r w:rsidRPr="00C2247C">
              <w:rPr>
                <w:rFonts w:cs="Arial"/>
                <w:b/>
                <w:bCs/>
                <w:sz w:val="24"/>
              </w:rPr>
              <w:t xml:space="preserve">Patient Safety Incidents </w:t>
            </w:r>
          </w:p>
        </w:tc>
        <w:tc>
          <w:tcPr>
            <w:tcW w:w="3422" w:type="pct"/>
          </w:tcPr>
          <w:p w14:paraId="54F5EF81" w14:textId="77777777" w:rsidR="007628B0" w:rsidRPr="00C2247C" w:rsidRDefault="007628B0" w:rsidP="00244649">
            <w:pPr>
              <w:spacing w:before="60" w:after="60"/>
              <w:jc w:val="left"/>
              <w:rPr>
                <w:rFonts w:cs="Arial"/>
                <w:sz w:val="24"/>
              </w:rPr>
            </w:pPr>
            <w:r w:rsidRPr="00C2247C">
              <w:rPr>
                <w:rFonts w:cs="Arial"/>
                <w:sz w:val="24"/>
              </w:rPr>
              <w:t>Patient safety incidents are unintended or unexpected events (including omissions) in healthcare that could have or did harm one or more patients.</w:t>
            </w:r>
          </w:p>
          <w:p w14:paraId="79F20B71" w14:textId="77777777" w:rsidR="007628B0" w:rsidRPr="00C2247C" w:rsidRDefault="007628B0" w:rsidP="00244649">
            <w:pPr>
              <w:spacing w:before="60" w:after="60"/>
              <w:jc w:val="left"/>
              <w:rPr>
                <w:rFonts w:cs="Arial"/>
                <w:sz w:val="24"/>
              </w:rPr>
            </w:pPr>
          </w:p>
          <w:p w14:paraId="55ADD740" w14:textId="6197DE82" w:rsidR="007628B0" w:rsidRPr="00C2247C" w:rsidRDefault="007628B0" w:rsidP="00244649">
            <w:pPr>
              <w:spacing w:before="60" w:after="60"/>
              <w:jc w:val="left"/>
              <w:rPr>
                <w:rFonts w:cs="Arial"/>
                <w:sz w:val="24"/>
              </w:rPr>
            </w:pPr>
            <w:r w:rsidRPr="00C2247C">
              <w:rPr>
                <w:rFonts w:cs="Arial"/>
                <w:sz w:val="24"/>
              </w:rPr>
              <w:t>Current process is described in the Serious Incident Framework 2015, this will be replaced by P</w:t>
            </w:r>
            <w:r w:rsidR="00825962">
              <w:rPr>
                <w:rFonts w:cs="Arial"/>
                <w:sz w:val="24"/>
              </w:rPr>
              <w:t xml:space="preserve">atient Safety Incident Response Framework by </w:t>
            </w:r>
            <w:r w:rsidR="00A3110A">
              <w:rPr>
                <w:rFonts w:cs="Arial"/>
                <w:sz w:val="24"/>
              </w:rPr>
              <w:t xml:space="preserve">Autumn </w:t>
            </w:r>
            <w:r w:rsidR="00A3110A" w:rsidRPr="00C2247C">
              <w:rPr>
                <w:rFonts w:cs="Arial"/>
                <w:sz w:val="24"/>
              </w:rPr>
              <w:t>2023</w:t>
            </w:r>
            <w:r w:rsidRPr="00C2247C">
              <w:rPr>
                <w:rFonts w:cs="Arial"/>
                <w:sz w:val="24"/>
              </w:rPr>
              <w:t xml:space="preserve">.  </w:t>
            </w:r>
          </w:p>
        </w:tc>
      </w:tr>
      <w:tr w:rsidR="007628B0" w:rsidRPr="00C2247C" w14:paraId="1BEDB27C" w14:textId="77777777" w:rsidTr="00244649">
        <w:tc>
          <w:tcPr>
            <w:tcW w:w="1578" w:type="pct"/>
            <w:tcMar>
              <w:top w:w="30" w:type="dxa"/>
              <w:left w:w="30" w:type="dxa"/>
              <w:bottom w:w="20" w:type="dxa"/>
              <w:right w:w="30" w:type="dxa"/>
            </w:tcMar>
          </w:tcPr>
          <w:p w14:paraId="4D589E7A" w14:textId="77777777" w:rsidR="007628B0" w:rsidRPr="00C2247C" w:rsidRDefault="007628B0" w:rsidP="00244649">
            <w:pPr>
              <w:rPr>
                <w:rFonts w:cs="Arial"/>
                <w:b/>
                <w:bCs/>
                <w:sz w:val="24"/>
              </w:rPr>
            </w:pPr>
            <w:r w:rsidRPr="00C2247C">
              <w:rPr>
                <w:rFonts w:cs="Arial"/>
                <w:b/>
                <w:sz w:val="24"/>
              </w:rPr>
              <w:t>Severe Mental Illness</w:t>
            </w:r>
          </w:p>
        </w:tc>
        <w:tc>
          <w:tcPr>
            <w:tcW w:w="3422" w:type="pct"/>
          </w:tcPr>
          <w:p w14:paraId="5BC47C9E" w14:textId="1A400303" w:rsidR="007628B0" w:rsidRPr="00C2247C" w:rsidRDefault="007628B0" w:rsidP="00244649">
            <w:pPr>
              <w:rPr>
                <w:rFonts w:cs="Arial"/>
                <w:bCs/>
                <w:sz w:val="24"/>
              </w:rPr>
            </w:pPr>
            <w:r w:rsidRPr="00C2247C">
              <w:rPr>
                <w:rFonts w:cs="Arial"/>
                <w:sz w:val="24"/>
              </w:rPr>
              <w:t xml:space="preserve">The term is generally restricted to psychoses, including schizophrenia, bipolar disorder, delusional disorder, unipolar depressive </w:t>
            </w:r>
            <w:r w:rsidR="002B213B" w:rsidRPr="00C2247C">
              <w:rPr>
                <w:rFonts w:cs="Arial"/>
                <w:sz w:val="24"/>
              </w:rPr>
              <w:t>psychosis,</w:t>
            </w:r>
            <w:r w:rsidRPr="00C2247C">
              <w:rPr>
                <w:rFonts w:cs="Arial"/>
                <w:sz w:val="24"/>
              </w:rPr>
              <w:t xml:space="preserve"> and schizoaffective disorder</w:t>
            </w:r>
            <w:r w:rsidR="00A3110A">
              <w:rPr>
                <w:rFonts w:cs="Arial"/>
                <w:sz w:val="24"/>
              </w:rPr>
              <w:t>.</w:t>
            </w:r>
          </w:p>
        </w:tc>
      </w:tr>
      <w:tr w:rsidR="007628B0" w:rsidRPr="00C2247C" w14:paraId="136E6859" w14:textId="77777777" w:rsidTr="00244649">
        <w:tc>
          <w:tcPr>
            <w:tcW w:w="1578" w:type="pct"/>
            <w:tcMar>
              <w:top w:w="30" w:type="dxa"/>
              <w:left w:w="30" w:type="dxa"/>
              <w:bottom w:w="20" w:type="dxa"/>
              <w:right w:w="30" w:type="dxa"/>
            </w:tcMar>
          </w:tcPr>
          <w:p w14:paraId="08E506E8" w14:textId="4496A9D9" w:rsidR="007628B0" w:rsidRPr="00C2247C" w:rsidRDefault="007628B0" w:rsidP="00244649">
            <w:pPr>
              <w:rPr>
                <w:rFonts w:cs="Arial"/>
                <w:b/>
                <w:sz w:val="24"/>
              </w:rPr>
            </w:pPr>
            <w:r w:rsidRPr="00C2247C">
              <w:rPr>
                <w:rFonts w:cs="Arial"/>
                <w:b/>
                <w:bCs/>
                <w:sz w:val="24"/>
              </w:rPr>
              <w:t>S</w:t>
            </w:r>
            <w:r w:rsidR="00537185">
              <w:rPr>
                <w:rFonts w:cs="Arial"/>
                <w:b/>
                <w:bCs/>
                <w:sz w:val="24"/>
              </w:rPr>
              <w:t>t</w:t>
            </w:r>
            <w:r w:rsidRPr="00C2247C">
              <w:rPr>
                <w:rFonts w:cs="Arial"/>
                <w:b/>
                <w:bCs/>
                <w:sz w:val="24"/>
              </w:rPr>
              <w:t>EIS</w:t>
            </w:r>
          </w:p>
        </w:tc>
        <w:tc>
          <w:tcPr>
            <w:tcW w:w="3422" w:type="pct"/>
          </w:tcPr>
          <w:p w14:paraId="5546AD2D" w14:textId="24C03F24" w:rsidR="007628B0" w:rsidRPr="00C2247C" w:rsidRDefault="007628B0" w:rsidP="00244649">
            <w:pPr>
              <w:rPr>
                <w:rFonts w:cs="Arial"/>
                <w:bCs/>
                <w:sz w:val="24"/>
              </w:rPr>
            </w:pPr>
            <w:r w:rsidRPr="00C2247C">
              <w:rPr>
                <w:rFonts w:cs="Arial"/>
                <w:sz w:val="24"/>
              </w:rPr>
              <w:t xml:space="preserve">Strategic Executive Information System is the national system for </w:t>
            </w:r>
            <w:r w:rsidR="00825962" w:rsidRPr="00C2247C">
              <w:rPr>
                <w:rFonts w:cs="Arial"/>
                <w:sz w:val="24"/>
              </w:rPr>
              <w:t>reporting Serious</w:t>
            </w:r>
            <w:r w:rsidRPr="00C2247C">
              <w:rPr>
                <w:rFonts w:cs="Arial"/>
                <w:sz w:val="24"/>
              </w:rPr>
              <w:t xml:space="preserve"> Incidents (SI) that enables electronic logging, </w:t>
            </w:r>
            <w:r w:rsidR="002B213B" w:rsidRPr="00C2247C">
              <w:rPr>
                <w:rFonts w:cs="Arial"/>
                <w:sz w:val="24"/>
              </w:rPr>
              <w:t>tracking,</w:t>
            </w:r>
            <w:r w:rsidRPr="00C2247C">
              <w:rPr>
                <w:rFonts w:cs="Arial"/>
                <w:sz w:val="24"/>
              </w:rPr>
              <w:t xml:space="preserve"> and reporting of Serious Incidents with NHS Improvement</w:t>
            </w:r>
            <w:r w:rsidR="00A3110A">
              <w:rPr>
                <w:rFonts w:cs="Arial"/>
                <w:sz w:val="24"/>
              </w:rPr>
              <w:t>.</w:t>
            </w:r>
          </w:p>
        </w:tc>
      </w:tr>
      <w:tr w:rsidR="007628B0" w:rsidRPr="00C2247C" w14:paraId="1CE5C159" w14:textId="77777777" w:rsidTr="00244649">
        <w:tc>
          <w:tcPr>
            <w:tcW w:w="1578" w:type="pct"/>
            <w:tcMar>
              <w:top w:w="30" w:type="dxa"/>
              <w:left w:w="30" w:type="dxa"/>
              <w:bottom w:w="20" w:type="dxa"/>
              <w:right w:w="30" w:type="dxa"/>
            </w:tcMar>
          </w:tcPr>
          <w:p w14:paraId="0DA5DF60" w14:textId="6E2EA06C" w:rsidR="007628B0" w:rsidRPr="00C2247C" w:rsidRDefault="007628B0" w:rsidP="00244649">
            <w:pPr>
              <w:rPr>
                <w:rFonts w:cs="Arial"/>
                <w:b/>
                <w:bCs/>
                <w:sz w:val="24"/>
              </w:rPr>
            </w:pPr>
            <w:r w:rsidRPr="00C2247C">
              <w:rPr>
                <w:rFonts w:cs="Arial"/>
                <w:b/>
                <w:sz w:val="24"/>
              </w:rPr>
              <w:t>Structured</w:t>
            </w:r>
            <w:r w:rsidR="00A3110A">
              <w:rPr>
                <w:rFonts w:cs="Arial"/>
                <w:b/>
                <w:sz w:val="24"/>
              </w:rPr>
              <w:t xml:space="preserve"> </w:t>
            </w:r>
            <w:r w:rsidRPr="00C2247C">
              <w:rPr>
                <w:rFonts w:cs="Arial"/>
                <w:b/>
                <w:sz w:val="24"/>
              </w:rPr>
              <w:t xml:space="preserve">Judgement Review (SJR) </w:t>
            </w:r>
          </w:p>
        </w:tc>
        <w:tc>
          <w:tcPr>
            <w:tcW w:w="3422" w:type="pct"/>
          </w:tcPr>
          <w:p w14:paraId="0525F99D" w14:textId="5EC53E95" w:rsidR="007628B0" w:rsidRPr="00F30C7D" w:rsidRDefault="007628B0" w:rsidP="00244649">
            <w:pPr>
              <w:rPr>
                <w:rFonts w:cs="Arial"/>
                <w:bCs/>
                <w:sz w:val="24"/>
              </w:rPr>
            </w:pPr>
            <w:r w:rsidRPr="00C2247C">
              <w:rPr>
                <w:rFonts w:cs="Arial"/>
                <w:bCs/>
                <w:sz w:val="24"/>
              </w:rPr>
              <w:t>Reviewing case records to determine whether there were any problems in the care provided to the patient who died, in order to learn from what happened. The Trust uses the Royal College of Physicians Structured Judgement Review methodology</w:t>
            </w:r>
            <w:r w:rsidRPr="00C2247C">
              <w:rPr>
                <w:rStyle w:val="FootnoteReference"/>
                <w:rFonts w:cs="Arial"/>
                <w:bCs/>
                <w:sz w:val="24"/>
              </w:rPr>
              <w:footnoteReference w:id="1"/>
            </w:r>
            <w:r w:rsidRPr="00C2247C">
              <w:rPr>
                <w:rFonts w:cs="Arial"/>
                <w:bCs/>
                <w:sz w:val="24"/>
              </w:rPr>
              <w:t xml:space="preserve"> and Royal College of Psychiatrists Mortality Review Tool for Mental Health Trusts</w:t>
            </w:r>
            <w:r w:rsidRPr="00C2247C">
              <w:rPr>
                <w:rStyle w:val="FootnoteReference"/>
                <w:rFonts w:cs="Arial"/>
                <w:bCs/>
                <w:sz w:val="24"/>
              </w:rPr>
              <w:footnoteReference w:id="2"/>
            </w:r>
          </w:p>
        </w:tc>
      </w:tr>
    </w:tbl>
    <w:p w14:paraId="7A6A75D4" w14:textId="0DCD4BD8" w:rsidR="00F30C7D" w:rsidRDefault="00F30C7D" w:rsidP="002378F9">
      <w:pPr>
        <w:rPr>
          <w:rFonts w:cs="Arial"/>
          <w:b/>
          <w:sz w:val="24"/>
        </w:rPr>
      </w:pPr>
    </w:p>
    <w:p w14:paraId="17E353A5" w14:textId="77777777" w:rsidR="00A3110A" w:rsidRDefault="00A3110A" w:rsidP="002378F9">
      <w:pPr>
        <w:rPr>
          <w:rFonts w:cs="Arial"/>
          <w:b/>
          <w:sz w:val="24"/>
        </w:rPr>
      </w:pPr>
    </w:p>
    <w:p w14:paraId="010CBDD6" w14:textId="4FFEBB76" w:rsidR="002378F9" w:rsidRPr="00C2247C" w:rsidRDefault="002378F9" w:rsidP="002378F9">
      <w:pPr>
        <w:rPr>
          <w:rFonts w:cs="Arial"/>
          <w:b/>
          <w:sz w:val="24"/>
        </w:rPr>
      </w:pPr>
      <w:r w:rsidRPr="00C2247C">
        <w:rPr>
          <w:rFonts w:cs="Arial"/>
          <w:b/>
          <w:sz w:val="24"/>
        </w:rPr>
        <w:lastRenderedPageBreak/>
        <w:t>1.</w:t>
      </w:r>
      <w:r w:rsidR="007628B0" w:rsidRPr="00C2247C">
        <w:rPr>
          <w:rFonts w:cs="Arial"/>
          <w:b/>
          <w:sz w:val="24"/>
        </w:rPr>
        <w:t>6</w:t>
      </w:r>
      <w:r w:rsidRPr="00C2247C">
        <w:rPr>
          <w:rFonts w:cs="Arial"/>
          <w:b/>
          <w:sz w:val="24"/>
        </w:rPr>
        <w:t xml:space="preserve"> </w:t>
      </w:r>
      <w:r w:rsidRPr="00C2247C">
        <w:rPr>
          <w:rFonts w:cs="Arial"/>
          <w:b/>
          <w:sz w:val="24"/>
        </w:rPr>
        <w:tab/>
      </w:r>
      <w:r w:rsidR="007628B0" w:rsidRPr="00C2247C">
        <w:rPr>
          <w:rFonts w:cs="Arial"/>
          <w:b/>
          <w:sz w:val="24"/>
        </w:rPr>
        <w:t>Duties</w:t>
      </w:r>
    </w:p>
    <w:p w14:paraId="010CBDD7" w14:textId="15CA54CD" w:rsidR="002378F9" w:rsidRPr="00C2247C" w:rsidRDefault="002378F9" w:rsidP="002378F9">
      <w:pPr>
        <w:rPr>
          <w:rFonts w:cs="Arial"/>
          <w:b/>
          <w:sz w:val="24"/>
        </w:rPr>
      </w:pPr>
      <w:r w:rsidRPr="00C2247C">
        <w:rPr>
          <w:rFonts w:cs="Arial"/>
          <w:b/>
          <w:sz w:val="24"/>
        </w:rPr>
        <w:t>1.</w:t>
      </w:r>
      <w:r w:rsidR="007628B0" w:rsidRPr="00C2247C">
        <w:rPr>
          <w:rFonts w:cs="Arial"/>
          <w:b/>
          <w:sz w:val="24"/>
        </w:rPr>
        <w:t>6</w:t>
      </w:r>
      <w:r w:rsidRPr="00C2247C">
        <w:rPr>
          <w:rFonts w:cs="Arial"/>
          <w:b/>
          <w:sz w:val="24"/>
        </w:rPr>
        <w:t>.1</w:t>
      </w:r>
      <w:r w:rsidRPr="00C2247C">
        <w:rPr>
          <w:rFonts w:cs="Arial"/>
          <w:b/>
          <w:sz w:val="24"/>
        </w:rPr>
        <w:tab/>
        <w:t>Who this policy applies to</w:t>
      </w:r>
    </w:p>
    <w:p w14:paraId="010CBDD8" w14:textId="77777777" w:rsidR="002378F9" w:rsidRPr="00C2247C" w:rsidRDefault="002378F9" w:rsidP="002378F9">
      <w:pPr>
        <w:ind w:left="720"/>
        <w:rPr>
          <w:rFonts w:cs="Arial"/>
          <w:sz w:val="24"/>
        </w:rPr>
      </w:pPr>
      <w:r w:rsidRPr="00C2247C">
        <w:rPr>
          <w:rFonts w:cs="Arial"/>
          <w:sz w:val="24"/>
        </w:rPr>
        <w:t>This policy applies to all Trust staff with a responsibility for patient care as set out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2378F9" w:rsidRPr="00C2247C" w14:paraId="010CBDDB" w14:textId="77777777" w:rsidTr="00F7351D">
        <w:tc>
          <w:tcPr>
            <w:tcW w:w="675" w:type="dxa"/>
            <w:shd w:val="clear" w:color="auto" w:fill="FFFFCC"/>
          </w:tcPr>
          <w:p w14:paraId="010CBDD9" w14:textId="77777777" w:rsidR="002378F9" w:rsidRPr="00C2247C" w:rsidRDefault="002378F9" w:rsidP="00F7351D">
            <w:pPr>
              <w:rPr>
                <w:rFonts w:cs="Arial"/>
                <w:sz w:val="24"/>
              </w:rPr>
            </w:pPr>
            <w:r w:rsidRPr="00C2247C">
              <w:rPr>
                <w:rFonts w:cs="Arial"/>
                <w:noProof/>
                <w:sz w:val="24"/>
              </w:rPr>
              <w:drawing>
                <wp:anchor distT="0" distB="0" distL="114300" distR="114300" simplePos="0" relativeHeight="251661312" behindDoc="0" locked="0" layoutInCell="1" allowOverlap="1" wp14:anchorId="010CBF2F" wp14:editId="010CBF30">
                  <wp:simplePos x="0" y="0"/>
                  <wp:positionH relativeFrom="column">
                    <wp:posOffset>-9525</wp:posOffset>
                  </wp:positionH>
                  <wp:positionV relativeFrom="paragraph">
                    <wp:posOffset>5080</wp:posOffset>
                  </wp:positionV>
                  <wp:extent cx="372110" cy="350520"/>
                  <wp:effectExtent l="0" t="0" r="8890" b="0"/>
                  <wp:wrapSquare wrapText="bothSides"/>
                  <wp:docPr id="11" name="Picture 11"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2" w:type="dxa"/>
            <w:shd w:val="clear" w:color="auto" w:fill="FFFFCC"/>
          </w:tcPr>
          <w:p w14:paraId="010CBDDA" w14:textId="0A86A8F3" w:rsidR="002378F9" w:rsidRPr="00C2247C" w:rsidRDefault="002378F9" w:rsidP="00F7351D">
            <w:pPr>
              <w:rPr>
                <w:rFonts w:cs="Arial"/>
                <w:sz w:val="24"/>
              </w:rPr>
            </w:pPr>
            <w:r w:rsidRPr="00C2247C">
              <w:rPr>
                <w:rFonts w:cs="Arial"/>
                <w:sz w:val="24"/>
              </w:rPr>
              <w:t>The National Quality Board Guidance on Learning from Patient</w:t>
            </w:r>
            <w:r w:rsidR="00A3110A">
              <w:rPr>
                <w:rFonts w:cs="Arial"/>
                <w:sz w:val="24"/>
              </w:rPr>
              <w:t>s</w:t>
            </w:r>
            <w:r w:rsidRPr="00C2247C">
              <w:rPr>
                <w:rFonts w:cs="Arial"/>
                <w:sz w:val="24"/>
              </w:rPr>
              <w:t xml:space="preserve"> Deaths applies to </w:t>
            </w:r>
            <w:r w:rsidRPr="00537185">
              <w:rPr>
                <w:rFonts w:cs="Arial"/>
                <w:b/>
                <w:bCs/>
                <w:sz w:val="24"/>
              </w:rPr>
              <w:t>all</w:t>
            </w:r>
            <w:r w:rsidRPr="00C2247C">
              <w:rPr>
                <w:rFonts w:cs="Arial"/>
                <w:sz w:val="24"/>
              </w:rPr>
              <w:t xml:space="preserve"> acute, mental health/learning disability and community NHS Trusts. </w:t>
            </w:r>
          </w:p>
        </w:tc>
      </w:tr>
    </w:tbl>
    <w:p w14:paraId="010CBDDC" w14:textId="61374FA8" w:rsidR="002378F9" w:rsidRPr="00C2247C" w:rsidRDefault="002378F9" w:rsidP="002378F9">
      <w:pPr>
        <w:rPr>
          <w:rFonts w:cs="Arial"/>
          <w:b/>
          <w:sz w:val="24"/>
        </w:rPr>
      </w:pPr>
      <w:r w:rsidRPr="00C2247C">
        <w:rPr>
          <w:rFonts w:cs="Arial"/>
          <w:b/>
          <w:sz w:val="24"/>
        </w:rPr>
        <w:t>1.</w:t>
      </w:r>
      <w:r w:rsidR="007628B0" w:rsidRPr="00C2247C">
        <w:rPr>
          <w:rFonts w:cs="Arial"/>
          <w:b/>
          <w:sz w:val="24"/>
        </w:rPr>
        <w:t>6</w:t>
      </w:r>
      <w:r w:rsidRPr="00C2247C">
        <w:rPr>
          <w:rFonts w:cs="Arial"/>
          <w:b/>
          <w:sz w:val="24"/>
        </w:rPr>
        <w:t>.2</w:t>
      </w:r>
      <w:r w:rsidRPr="00C2247C">
        <w:rPr>
          <w:rFonts w:cs="Arial"/>
          <w:b/>
          <w:sz w:val="24"/>
        </w:rPr>
        <w:tab/>
        <w:t>Roles and responsibilities</w:t>
      </w:r>
    </w:p>
    <w:p w14:paraId="010CBDDD" w14:textId="77777777" w:rsidR="002378F9" w:rsidRPr="00C2247C" w:rsidRDefault="002378F9" w:rsidP="002378F9">
      <w:pPr>
        <w:ind w:left="720"/>
        <w:rPr>
          <w:rFonts w:cs="Arial"/>
          <w:sz w:val="24"/>
        </w:rPr>
      </w:pPr>
      <w:r w:rsidRPr="00C2247C">
        <w:rPr>
          <w:rFonts w:cs="Arial"/>
          <w:sz w:val="24"/>
        </w:rPr>
        <w:t>Mortality governance is a priority for all Trust Boards and the Learning from Deaths Framework places a greater emphasis on the importance of Board Leadership to ensure that learning from patient deaths becomes embedded in the organisation.</w:t>
      </w:r>
      <w:r w:rsidRPr="00C2247C">
        <w:rPr>
          <w:rFonts w:cs="Arial"/>
          <w:sz w:val="24"/>
        </w:rPr>
        <w:tab/>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9"/>
        <w:gridCol w:w="6707"/>
      </w:tblGrid>
      <w:tr w:rsidR="002378F9" w:rsidRPr="00C2247C" w14:paraId="010CBDE1" w14:textId="77777777" w:rsidTr="00F7351D">
        <w:tc>
          <w:tcPr>
            <w:tcW w:w="2332" w:type="dxa"/>
            <w:shd w:val="clear" w:color="auto" w:fill="D9D9D9" w:themeFill="background1" w:themeFillShade="D9"/>
          </w:tcPr>
          <w:p w14:paraId="010CBDDE" w14:textId="77777777" w:rsidR="002378F9" w:rsidRPr="00C2247C" w:rsidRDefault="002378F9" w:rsidP="00F7351D">
            <w:pPr>
              <w:spacing w:before="100" w:beforeAutospacing="1" w:after="0"/>
              <w:outlineLvl w:val="1"/>
              <w:rPr>
                <w:rFonts w:cs="Arial"/>
                <w:b/>
                <w:sz w:val="24"/>
              </w:rPr>
            </w:pPr>
            <w:r w:rsidRPr="00C2247C">
              <w:rPr>
                <w:rFonts w:cs="Arial"/>
                <w:b/>
                <w:sz w:val="24"/>
              </w:rPr>
              <w:t xml:space="preserve">Role </w:t>
            </w:r>
          </w:p>
        </w:tc>
        <w:tc>
          <w:tcPr>
            <w:tcW w:w="6903" w:type="dxa"/>
            <w:shd w:val="clear" w:color="auto" w:fill="D9D9D9" w:themeFill="background1" w:themeFillShade="D9"/>
          </w:tcPr>
          <w:p w14:paraId="010CBDDF" w14:textId="77777777" w:rsidR="002378F9" w:rsidRPr="00C2247C" w:rsidRDefault="002378F9" w:rsidP="00F7351D">
            <w:pPr>
              <w:spacing w:before="100" w:beforeAutospacing="1" w:after="0"/>
              <w:outlineLvl w:val="1"/>
              <w:rPr>
                <w:rFonts w:cs="Arial"/>
                <w:b/>
                <w:sz w:val="24"/>
              </w:rPr>
            </w:pPr>
            <w:r w:rsidRPr="00C2247C">
              <w:rPr>
                <w:rFonts w:cs="Arial"/>
                <w:b/>
                <w:sz w:val="24"/>
              </w:rPr>
              <w:t>Responsibility</w:t>
            </w:r>
          </w:p>
          <w:p w14:paraId="010CBDE0" w14:textId="77777777" w:rsidR="002378F9" w:rsidRPr="00C2247C" w:rsidRDefault="002378F9" w:rsidP="00F7351D">
            <w:pPr>
              <w:spacing w:before="0" w:after="0"/>
              <w:outlineLvl w:val="1"/>
              <w:rPr>
                <w:rFonts w:cs="Arial"/>
                <w:b/>
                <w:sz w:val="24"/>
              </w:rPr>
            </w:pPr>
          </w:p>
        </w:tc>
      </w:tr>
      <w:tr w:rsidR="002378F9" w:rsidRPr="00C2247C" w14:paraId="010CBDEC" w14:textId="77777777" w:rsidTr="00F7351D">
        <w:tc>
          <w:tcPr>
            <w:tcW w:w="2332" w:type="dxa"/>
            <w:shd w:val="clear" w:color="auto" w:fill="D9D9D9" w:themeFill="background1" w:themeFillShade="D9"/>
          </w:tcPr>
          <w:p w14:paraId="010CBDE2" w14:textId="38185C2B" w:rsidR="002378F9" w:rsidRPr="00C2247C" w:rsidRDefault="002378F9" w:rsidP="00FF7CAC">
            <w:pPr>
              <w:jc w:val="left"/>
              <w:rPr>
                <w:rFonts w:cs="Arial"/>
                <w:b/>
                <w:sz w:val="24"/>
              </w:rPr>
            </w:pPr>
            <w:r w:rsidRPr="00C2247C">
              <w:rPr>
                <w:rFonts w:cs="Arial"/>
                <w:b/>
                <w:sz w:val="24"/>
              </w:rPr>
              <w:t xml:space="preserve">Chief </w:t>
            </w:r>
            <w:r w:rsidR="00DC63B5" w:rsidRPr="00C2247C">
              <w:rPr>
                <w:rFonts w:cs="Arial"/>
                <w:b/>
                <w:sz w:val="24"/>
              </w:rPr>
              <w:t>Executive, Executive</w:t>
            </w:r>
            <w:r w:rsidRPr="00C2247C">
              <w:rPr>
                <w:rFonts w:cs="Arial"/>
                <w:b/>
                <w:sz w:val="24"/>
              </w:rPr>
              <w:t xml:space="preserve"> </w:t>
            </w:r>
            <w:r w:rsidR="002B213B" w:rsidRPr="00C2247C">
              <w:rPr>
                <w:rFonts w:cs="Arial"/>
                <w:b/>
                <w:sz w:val="24"/>
              </w:rPr>
              <w:t>Directors,</w:t>
            </w:r>
            <w:r w:rsidRPr="00C2247C">
              <w:rPr>
                <w:rFonts w:cs="Arial"/>
                <w:b/>
                <w:sz w:val="24"/>
              </w:rPr>
              <w:t xml:space="preserve"> and Non-Executive Directors</w:t>
            </w:r>
          </w:p>
        </w:tc>
        <w:tc>
          <w:tcPr>
            <w:tcW w:w="6903" w:type="dxa"/>
            <w:shd w:val="clear" w:color="auto" w:fill="auto"/>
          </w:tcPr>
          <w:p w14:paraId="010CBDE3" w14:textId="5E0EC076" w:rsidR="002378F9" w:rsidRPr="00C2247C" w:rsidRDefault="002378F9" w:rsidP="00F7351D">
            <w:pPr>
              <w:pStyle w:val="Bullet"/>
              <w:numPr>
                <w:ilvl w:val="0"/>
                <w:numId w:val="0"/>
              </w:numPr>
              <w:tabs>
                <w:tab w:val="clear" w:pos="425"/>
              </w:tabs>
              <w:rPr>
                <w:rFonts w:cs="Arial"/>
                <w:sz w:val="24"/>
              </w:rPr>
            </w:pPr>
            <w:r w:rsidRPr="00C2247C">
              <w:rPr>
                <w:rFonts w:cs="Arial"/>
                <w:sz w:val="24"/>
              </w:rPr>
              <w:t xml:space="preserve">Trust Boards are accountable for ensuring compliance with the 2017 NQB guidance on Learning from Deaths and working towards achieving the highest standards in mortality governance. They must ensure quality improvement remains key by championing and supporting learning that leads to meaningful and effective actions that continually improve patient safety and experience and supports cultural change. They can do this by demonstrating their commitment to the work </w:t>
            </w:r>
            <w:r w:rsidR="000A22CB" w:rsidRPr="00C2247C">
              <w:rPr>
                <w:rFonts w:cs="Arial"/>
                <w:sz w:val="24"/>
              </w:rPr>
              <w:t>e.g.,</w:t>
            </w:r>
            <w:r w:rsidRPr="00C2247C">
              <w:rPr>
                <w:rFonts w:cs="Arial"/>
                <w:sz w:val="24"/>
              </w:rPr>
              <w:t xml:space="preserve"> spending time developing Board thinking; ensuring a corporate understanding of the key issues around the deaths of service users and by ensuring that sufficient priority and resource is available for the work. </w:t>
            </w:r>
          </w:p>
          <w:p w14:paraId="010CBDE4" w14:textId="77777777" w:rsidR="002378F9" w:rsidRPr="00C2247C" w:rsidRDefault="002378F9" w:rsidP="00F7351D">
            <w:pPr>
              <w:pStyle w:val="Bullet"/>
              <w:numPr>
                <w:ilvl w:val="0"/>
                <w:numId w:val="0"/>
              </w:numPr>
              <w:tabs>
                <w:tab w:val="clear" w:pos="425"/>
              </w:tabs>
              <w:rPr>
                <w:rFonts w:cs="Arial"/>
                <w:sz w:val="24"/>
              </w:rPr>
            </w:pPr>
          </w:p>
          <w:p w14:paraId="010CBDE5" w14:textId="57983336" w:rsidR="002378F9" w:rsidRPr="00C2247C" w:rsidRDefault="002378F9" w:rsidP="00F7351D">
            <w:pPr>
              <w:pStyle w:val="Bullet"/>
              <w:numPr>
                <w:ilvl w:val="0"/>
                <w:numId w:val="0"/>
              </w:numPr>
              <w:tabs>
                <w:tab w:val="clear" w:pos="425"/>
              </w:tabs>
              <w:rPr>
                <w:rFonts w:cs="Arial"/>
                <w:sz w:val="24"/>
              </w:rPr>
            </w:pPr>
            <w:r w:rsidRPr="00C2247C">
              <w:rPr>
                <w:rFonts w:cs="Arial"/>
                <w:sz w:val="24"/>
              </w:rPr>
              <w:t xml:space="preserve">The </w:t>
            </w:r>
            <w:r w:rsidR="00EE4CAA" w:rsidRPr="00C2247C">
              <w:rPr>
                <w:rFonts w:cs="Arial"/>
                <w:sz w:val="24"/>
              </w:rPr>
              <w:t xml:space="preserve">Medical Director </w:t>
            </w:r>
            <w:r w:rsidRPr="00C2247C">
              <w:rPr>
                <w:rFonts w:cs="Arial"/>
                <w:sz w:val="24"/>
              </w:rPr>
              <w:t xml:space="preserve">has been identified as </w:t>
            </w:r>
            <w:r w:rsidR="00FF7CAC" w:rsidRPr="00C2247C">
              <w:rPr>
                <w:rFonts w:cs="Arial"/>
                <w:sz w:val="24"/>
              </w:rPr>
              <w:t>having</w:t>
            </w:r>
            <w:r w:rsidRPr="00C2247C">
              <w:rPr>
                <w:rFonts w:cs="Arial"/>
                <w:sz w:val="24"/>
              </w:rPr>
              <w:t xml:space="preserve"> Board level responsibility for learning from deaths.  </w:t>
            </w:r>
            <w:r w:rsidR="002B213B" w:rsidRPr="00C2247C">
              <w:rPr>
                <w:rFonts w:cs="Arial"/>
                <w:sz w:val="24"/>
              </w:rPr>
              <w:t>Additionally,</w:t>
            </w:r>
            <w:r w:rsidRPr="00C2247C">
              <w:rPr>
                <w:rFonts w:cs="Arial"/>
                <w:sz w:val="24"/>
              </w:rPr>
              <w:t xml:space="preserve"> a named Non-Executive Director has lead responsibility for oversight of progress to act as a critical friend holding the </w:t>
            </w:r>
            <w:r w:rsidRPr="00C2247C">
              <w:rPr>
                <w:rFonts w:cs="Arial"/>
                <w:sz w:val="24"/>
                <w:lang w:val="en-GB"/>
              </w:rPr>
              <w:t>organisation</w:t>
            </w:r>
            <w:r w:rsidRPr="00C2247C">
              <w:rPr>
                <w:rFonts w:cs="Arial"/>
                <w:sz w:val="24"/>
              </w:rPr>
              <w:t xml:space="preserve"> to account for its approach in learning from deaths.  </w:t>
            </w:r>
          </w:p>
          <w:p w14:paraId="010CBDE7" w14:textId="77777777" w:rsidR="002378F9" w:rsidRPr="00C2247C" w:rsidRDefault="002378F9" w:rsidP="00F7351D">
            <w:pPr>
              <w:pStyle w:val="Bullet"/>
              <w:numPr>
                <w:ilvl w:val="0"/>
                <w:numId w:val="0"/>
              </w:numPr>
              <w:tabs>
                <w:tab w:val="clear" w:pos="425"/>
              </w:tabs>
              <w:rPr>
                <w:rFonts w:cs="Arial"/>
                <w:sz w:val="24"/>
              </w:rPr>
            </w:pPr>
            <w:r w:rsidRPr="00C2247C">
              <w:rPr>
                <w:rFonts w:cs="Arial"/>
                <w:sz w:val="24"/>
              </w:rPr>
              <w:t xml:space="preserve">The Board will ensure:  </w:t>
            </w:r>
          </w:p>
          <w:p w14:paraId="010CBDE8" w14:textId="6AEEF718" w:rsidR="002378F9" w:rsidRPr="00C2247C" w:rsidRDefault="002378F9" w:rsidP="008168F1">
            <w:pPr>
              <w:pStyle w:val="Bullet"/>
              <w:numPr>
                <w:ilvl w:val="0"/>
                <w:numId w:val="8"/>
              </w:numPr>
              <w:tabs>
                <w:tab w:val="clear" w:pos="425"/>
              </w:tabs>
              <w:rPr>
                <w:rFonts w:cs="Arial"/>
                <w:sz w:val="24"/>
              </w:rPr>
            </w:pPr>
            <w:r w:rsidRPr="00C2247C">
              <w:rPr>
                <w:rFonts w:cs="Arial"/>
                <w:sz w:val="24"/>
              </w:rPr>
              <w:t xml:space="preserve">That robust systems are in place for reporting, </w:t>
            </w:r>
            <w:r w:rsidR="002B213B" w:rsidRPr="00C2247C">
              <w:rPr>
                <w:rFonts w:cs="Arial"/>
                <w:sz w:val="24"/>
              </w:rPr>
              <w:t>reviewing,</w:t>
            </w:r>
            <w:r w:rsidRPr="00C2247C">
              <w:rPr>
                <w:rFonts w:cs="Arial"/>
                <w:sz w:val="24"/>
              </w:rPr>
              <w:t xml:space="preserve"> and investigating </w:t>
            </w:r>
            <w:r w:rsidR="000A22CB" w:rsidRPr="00C2247C">
              <w:rPr>
                <w:rFonts w:cs="Arial"/>
                <w:sz w:val="24"/>
              </w:rPr>
              <w:t>deaths.</w:t>
            </w:r>
          </w:p>
          <w:p w14:paraId="010CBDE9" w14:textId="642B396A" w:rsidR="002378F9" w:rsidRPr="00C2247C" w:rsidRDefault="002378F9" w:rsidP="008168F1">
            <w:pPr>
              <w:pStyle w:val="Bullet"/>
              <w:numPr>
                <w:ilvl w:val="0"/>
                <w:numId w:val="8"/>
              </w:numPr>
              <w:tabs>
                <w:tab w:val="clear" w:pos="425"/>
              </w:tabs>
              <w:rPr>
                <w:rFonts w:cs="Arial"/>
                <w:sz w:val="24"/>
              </w:rPr>
            </w:pPr>
            <w:r w:rsidRPr="00C2247C">
              <w:rPr>
                <w:rFonts w:cs="Arial"/>
                <w:sz w:val="24"/>
              </w:rPr>
              <w:t xml:space="preserve">That bereaved families are engaged and </w:t>
            </w:r>
            <w:r w:rsidR="000A22CB" w:rsidRPr="00C2247C">
              <w:rPr>
                <w:rFonts w:cs="Arial"/>
                <w:sz w:val="24"/>
              </w:rPr>
              <w:t>supported.</w:t>
            </w:r>
            <w:r w:rsidRPr="00C2247C">
              <w:rPr>
                <w:rFonts w:cs="Arial"/>
                <w:sz w:val="24"/>
              </w:rPr>
              <w:t xml:space="preserve"> </w:t>
            </w:r>
          </w:p>
          <w:p w14:paraId="010CBDEA" w14:textId="0AC35920" w:rsidR="002378F9" w:rsidRPr="00C2247C" w:rsidRDefault="002378F9" w:rsidP="008168F1">
            <w:pPr>
              <w:pStyle w:val="Bullet"/>
              <w:numPr>
                <w:ilvl w:val="0"/>
                <w:numId w:val="8"/>
              </w:numPr>
              <w:tabs>
                <w:tab w:val="clear" w:pos="425"/>
              </w:tabs>
              <w:rPr>
                <w:rFonts w:cs="Arial"/>
                <w:sz w:val="24"/>
              </w:rPr>
            </w:pPr>
            <w:r w:rsidRPr="00C2247C">
              <w:rPr>
                <w:rFonts w:cs="Arial"/>
                <w:sz w:val="24"/>
              </w:rPr>
              <w:t>That there is evident learning from deaths</w:t>
            </w:r>
            <w:r w:rsidR="000A22CB">
              <w:rPr>
                <w:rFonts w:cs="Arial"/>
                <w:sz w:val="24"/>
              </w:rPr>
              <w:t>,</w:t>
            </w:r>
            <w:r w:rsidRPr="00C2247C">
              <w:rPr>
                <w:rFonts w:cs="Arial"/>
                <w:sz w:val="24"/>
              </w:rPr>
              <w:t xml:space="preserve"> both internally and with our external partners</w:t>
            </w:r>
            <w:r w:rsidR="000A22CB">
              <w:rPr>
                <w:rFonts w:cs="Arial"/>
                <w:sz w:val="24"/>
              </w:rPr>
              <w:t>,</w:t>
            </w:r>
            <w:r w:rsidRPr="00C2247C">
              <w:rPr>
                <w:rFonts w:cs="Arial"/>
                <w:sz w:val="24"/>
              </w:rPr>
              <w:t xml:space="preserve"> and quality improvement is championed</w:t>
            </w:r>
            <w:r w:rsidR="000A22CB">
              <w:rPr>
                <w:rFonts w:cs="Arial"/>
                <w:sz w:val="24"/>
              </w:rPr>
              <w:t>.</w:t>
            </w:r>
          </w:p>
          <w:p w14:paraId="010CBDEB" w14:textId="033EE14B" w:rsidR="002378F9" w:rsidRPr="00C2247C" w:rsidRDefault="002378F9" w:rsidP="008168F1">
            <w:pPr>
              <w:pStyle w:val="Bullet"/>
              <w:numPr>
                <w:ilvl w:val="0"/>
                <w:numId w:val="8"/>
              </w:numPr>
              <w:tabs>
                <w:tab w:val="clear" w:pos="425"/>
              </w:tabs>
              <w:rPr>
                <w:rFonts w:cs="Arial"/>
                <w:sz w:val="24"/>
              </w:rPr>
            </w:pPr>
            <w:r w:rsidRPr="00C2247C">
              <w:rPr>
                <w:rFonts w:cs="Arial"/>
                <w:sz w:val="24"/>
              </w:rPr>
              <w:lastRenderedPageBreak/>
              <w:t>That processes focus on learning, can withstand external scrutiny, by providing challenge and support and assurance of published information</w:t>
            </w:r>
            <w:r w:rsidR="000A22CB">
              <w:rPr>
                <w:rFonts w:cs="Arial"/>
                <w:sz w:val="24"/>
              </w:rPr>
              <w:t>.</w:t>
            </w:r>
          </w:p>
        </w:tc>
      </w:tr>
      <w:tr w:rsidR="002378F9" w:rsidRPr="00C2247C" w14:paraId="010CBDF7" w14:textId="77777777" w:rsidTr="00F7351D">
        <w:tc>
          <w:tcPr>
            <w:tcW w:w="2332" w:type="dxa"/>
            <w:shd w:val="clear" w:color="auto" w:fill="D9D9D9" w:themeFill="background1" w:themeFillShade="D9"/>
          </w:tcPr>
          <w:p w14:paraId="010CBDED" w14:textId="0847872F" w:rsidR="002378F9" w:rsidRPr="00C2247C" w:rsidRDefault="002378F9" w:rsidP="000124E9">
            <w:pPr>
              <w:jc w:val="left"/>
              <w:rPr>
                <w:rFonts w:cs="Arial"/>
                <w:b/>
                <w:sz w:val="24"/>
              </w:rPr>
            </w:pPr>
            <w:r w:rsidRPr="00C2247C">
              <w:rPr>
                <w:rFonts w:cs="Arial"/>
                <w:b/>
                <w:sz w:val="24"/>
              </w:rPr>
              <w:lastRenderedPageBreak/>
              <w:t xml:space="preserve">Clinical Directors, Medical Staff, </w:t>
            </w:r>
            <w:r w:rsidR="000124E9" w:rsidRPr="00C2247C">
              <w:rPr>
                <w:rFonts w:cs="Arial"/>
                <w:b/>
                <w:sz w:val="24"/>
              </w:rPr>
              <w:t xml:space="preserve">Senior </w:t>
            </w:r>
            <w:r w:rsidRPr="00C2247C">
              <w:rPr>
                <w:rFonts w:cs="Arial"/>
                <w:b/>
                <w:sz w:val="24"/>
              </w:rPr>
              <w:t>Nursing Managers, Modern Matrons, Ward and Team Managers and all Registered Nurses Allied Healthcare Professionals</w:t>
            </w:r>
          </w:p>
        </w:tc>
        <w:tc>
          <w:tcPr>
            <w:tcW w:w="6903" w:type="dxa"/>
            <w:shd w:val="clear" w:color="auto" w:fill="auto"/>
          </w:tcPr>
          <w:p w14:paraId="6DAF45AE" w14:textId="77777777" w:rsidR="00537185" w:rsidRDefault="00537185" w:rsidP="00F7351D">
            <w:pPr>
              <w:pStyle w:val="Bullet"/>
              <w:numPr>
                <w:ilvl w:val="0"/>
                <w:numId w:val="0"/>
              </w:numPr>
              <w:tabs>
                <w:tab w:val="clear" w:pos="425"/>
              </w:tabs>
              <w:spacing w:before="0" w:after="0"/>
              <w:rPr>
                <w:rFonts w:cs="Arial"/>
                <w:sz w:val="24"/>
              </w:rPr>
            </w:pPr>
          </w:p>
          <w:p w14:paraId="010CBDEF" w14:textId="0556CAD0" w:rsidR="002378F9" w:rsidRPr="00C2247C" w:rsidRDefault="00FF7CAC" w:rsidP="00F7351D">
            <w:pPr>
              <w:pStyle w:val="Bullet"/>
              <w:numPr>
                <w:ilvl w:val="0"/>
                <w:numId w:val="0"/>
              </w:numPr>
              <w:tabs>
                <w:tab w:val="clear" w:pos="425"/>
              </w:tabs>
              <w:spacing w:before="0" w:after="0"/>
              <w:rPr>
                <w:rFonts w:cs="Arial"/>
                <w:sz w:val="24"/>
              </w:rPr>
            </w:pPr>
            <w:r w:rsidRPr="00C2247C">
              <w:rPr>
                <w:rFonts w:cs="Arial"/>
                <w:sz w:val="24"/>
              </w:rPr>
              <w:t xml:space="preserve">Staff should </w:t>
            </w:r>
            <w:r w:rsidRPr="005D7A37">
              <w:rPr>
                <w:rFonts w:cs="Arial"/>
                <w:sz w:val="24"/>
                <w:lang w:val="en-GB"/>
              </w:rPr>
              <w:t>familiaris</w:t>
            </w:r>
            <w:r w:rsidR="002378F9" w:rsidRPr="005D7A37">
              <w:rPr>
                <w:rFonts w:cs="Arial"/>
                <w:sz w:val="24"/>
                <w:lang w:val="en-GB"/>
              </w:rPr>
              <w:t>e</w:t>
            </w:r>
            <w:r w:rsidR="002378F9" w:rsidRPr="00C2247C">
              <w:rPr>
                <w:rFonts w:cs="Arial"/>
                <w:sz w:val="24"/>
              </w:rPr>
              <w:t xml:space="preserve"> themselves with this policy and understand the process for learning from deaths. Identify the key changes required to implement this policy and ensure all appropriate action is </w:t>
            </w:r>
            <w:r w:rsidR="002B213B" w:rsidRPr="00C2247C">
              <w:rPr>
                <w:rFonts w:cs="Arial"/>
                <w:sz w:val="24"/>
              </w:rPr>
              <w:t>taken.</w:t>
            </w:r>
            <w:r w:rsidR="002378F9" w:rsidRPr="00C2247C">
              <w:rPr>
                <w:rFonts w:cs="Arial"/>
                <w:sz w:val="24"/>
              </w:rPr>
              <w:t xml:space="preserve"> </w:t>
            </w:r>
          </w:p>
          <w:p w14:paraId="010CBDF0" w14:textId="77777777" w:rsidR="002378F9" w:rsidRPr="00C2247C" w:rsidRDefault="002378F9" w:rsidP="00F7351D">
            <w:pPr>
              <w:pStyle w:val="Bullet"/>
              <w:numPr>
                <w:ilvl w:val="0"/>
                <w:numId w:val="0"/>
              </w:numPr>
              <w:tabs>
                <w:tab w:val="clear" w:pos="425"/>
              </w:tabs>
              <w:spacing w:before="0" w:after="0"/>
              <w:rPr>
                <w:rFonts w:cs="Arial"/>
                <w:sz w:val="24"/>
              </w:rPr>
            </w:pPr>
          </w:p>
          <w:p w14:paraId="010CBDF1" w14:textId="5B9CA021" w:rsidR="002378F9" w:rsidRPr="00537185" w:rsidRDefault="002378F9" w:rsidP="00F7351D">
            <w:pPr>
              <w:pStyle w:val="Bullet"/>
              <w:numPr>
                <w:ilvl w:val="0"/>
                <w:numId w:val="0"/>
              </w:numPr>
              <w:tabs>
                <w:tab w:val="clear" w:pos="425"/>
              </w:tabs>
              <w:spacing w:before="0" w:after="0"/>
              <w:rPr>
                <w:rFonts w:cs="Arial"/>
                <w:sz w:val="24"/>
                <w:lang w:val="en-GB"/>
              </w:rPr>
            </w:pPr>
            <w:r w:rsidRPr="00C2247C">
              <w:rPr>
                <w:rFonts w:cs="Arial"/>
                <w:sz w:val="24"/>
              </w:rPr>
              <w:t xml:space="preserve">In conjunction with the </w:t>
            </w:r>
            <w:r w:rsidR="006C7FF8">
              <w:rPr>
                <w:rFonts w:cs="Arial"/>
                <w:sz w:val="24"/>
              </w:rPr>
              <w:t xml:space="preserve">Clinical </w:t>
            </w:r>
            <w:r w:rsidR="006C7FF8" w:rsidRPr="006C7FF8">
              <w:rPr>
                <w:rFonts w:cs="Arial"/>
                <w:sz w:val="24"/>
              </w:rPr>
              <w:t>Governance</w:t>
            </w:r>
            <w:r w:rsidR="00AC7C46" w:rsidRPr="006C7FF8">
              <w:rPr>
                <w:rFonts w:cs="Arial"/>
                <w:sz w:val="24"/>
              </w:rPr>
              <w:t xml:space="preserve"> Team</w:t>
            </w:r>
            <w:r w:rsidRPr="006C7FF8">
              <w:rPr>
                <w:rFonts w:cs="Arial"/>
                <w:sz w:val="24"/>
              </w:rPr>
              <w:t>,</w:t>
            </w:r>
            <w:r w:rsidRPr="00C2247C">
              <w:rPr>
                <w:rFonts w:cs="Arial"/>
                <w:sz w:val="24"/>
              </w:rPr>
              <w:t xml:space="preserve"> to support staff to review and investigate deaths ensuring they have the time to carry this process out in</w:t>
            </w:r>
            <w:r w:rsidR="000A22CB">
              <w:rPr>
                <w:rFonts w:cs="Arial"/>
                <w:sz w:val="24"/>
              </w:rPr>
              <w:t xml:space="preserve"> a</w:t>
            </w:r>
            <w:r w:rsidRPr="00C2247C">
              <w:rPr>
                <w:rFonts w:cs="Arial"/>
                <w:sz w:val="24"/>
              </w:rPr>
              <w:t xml:space="preserve"> skilled way to a high standard, and as part of that to: </w:t>
            </w:r>
          </w:p>
          <w:p w14:paraId="010CBDF2" w14:textId="4FFF0C85" w:rsidR="002378F9" w:rsidRPr="00C2247C" w:rsidRDefault="002378F9" w:rsidP="008168F1">
            <w:pPr>
              <w:pStyle w:val="Bullet"/>
              <w:rPr>
                <w:rFonts w:cs="Arial"/>
                <w:kern w:val="36"/>
                <w:sz w:val="24"/>
              </w:rPr>
            </w:pPr>
            <w:r w:rsidRPr="00C2247C">
              <w:rPr>
                <w:rFonts w:cs="Arial"/>
                <w:sz w:val="24"/>
              </w:rPr>
              <w:t xml:space="preserve">Ensure staff have the right level of skill through training and </w:t>
            </w:r>
            <w:r w:rsidR="002B213B" w:rsidRPr="00C2247C">
              <w:rPr>
                <w:rFonts w:cs="Arial"/>
                <w:sz w:val="24"/>
              </w:rPr>
              <w:t>experience.</w:t>
            </w:r>
          </w:p>
          <w:p w14:paraId="010CBDF3" w14:textId="65C481CD" w:rsidR="002378F9" w:rsidRPr="00C2247C" w:rsidRDefault="00FF7CAC" w:rsidP="008168F1">
            <w:pPr>
              <w:pStyle w:val="Bullet"/>
              <w:rPr>
                <w:rFonts w:cs="Arial"/>
                <w:kern w:val="36"/>
                <w:sz w:val="24"/>
              </w:rPr>
            </w:pPr>
            <w:r w:rsidRPr="00C2247C">
              <w:rPr>
                <w:rFonts w:cs="Arial"/>
                <w:sz w:val="24"/>
              </w:rPr>
              <w:t>P</w:t>
            </w:r>
            <w:r w:rsidR="002378F9" w:rsidRPr="00C2247C">
              <w:rPr>
                <w:rFonts w:cs="Arial"/>
                <w:sz w:val="24"/>
              </w:rPr>
              <w:t xml:space="preserve">romote learning from </w:t>
            </w:r>
            <w:r w:rsidR="002B213B" w:rsidRPr="00C2247C">
              <w:rPr>
                <w:rFonts w:cs="Arial"/>
                <w:sz w:val="24"/>
              </w:rPr>
              <w:t>deaths.</w:t>
            </w:r>
          </w:p>
          <w:p w14:paraId="010CBDF4" w14:textId="36ADB382" w:rsidR="002378F9" w:rsidRPr="00C2247C" w:rsidRDefault="002378F9" w:rsidP="008168F1">
            <w:pPr>
              <w:pStyle w:val="Bullet"/>
              <w:rPr>
                <w:rFonts w:cs="Arial"/>
                <w:kern w:val="36"/>
                <w:sz w:val="24"/>
              </w:rPr>
            </w:pPr>
            <w:r w:rsidRPr="00C2247C">
              <w:rPr>
                <w:rFonts w:cs="Arial"/>
                <w:sz w:val="24"/>
              </w:rPr>
              <w:t>That sufficient time is assigned in local governance forums to outline</w:t>
            </w:r>
            <w:r w:rsidR="00062E99" w:rsidRPr="00C2247C">
              <w:rPr>
                <w:rFonts w:cs="Arial"/>
                <w:sz w:val="24"/>
              </w:rPr>
              <w:t xml:space="preserve"> and plan for any lessons </w:t>
            </w:r>
            <w:r w:rsidR="002B213B" w:rsidRPr="00C2247C">
              <w:rPr>
                <w:rFonts w:cs="Arial"/>
                <w:sz w:val="24"/>
              </w:rPr>
              <w:t>learnt.</w:t>
            </w:r>
            <w:r w:rsidRPr="00C2247C">
              <w:rPr>
                <w:rFonts w:cs="Arial"/>
                <w:sz w:val="24"/>
              </w:rPr>
              <w:t xml:space="preserve"> </w:t>
            </w:r>
          </w:p>
          <w:p w14:paraId="010CBDF5" w14:textId="43FFA58A" w:rsidR="002378F9" w:rsidRPr="00C2247C" w:rsidRDefault="00FF7CAC" w:rsidP="008168F1">
            <w:pPr>
              <w:pStyle w:val="Bullet"/>
              <w:rPr>
                <w:rFonts w:cs="Arial"/>
                <w:kern w:val="36"/>
                <w:sz w:val="24"/>
              </w:rPr>
            </w:pPr>
            <w:r w:rsidRPr="00C2247C">
              <w:rPr>
                <w:rFonts w:cs="Arial"/>
                <w:sz w:val="24"/>
              </w:rPr>
              <w:t>E</w:t>
            </w:r>
            <w:r w:rsidR="002378F9" w:rsidRPr="00C2247C">
              <w:rPr>
                <w:rFonts w:cs="Arial"/>
                <w:sz w:val="24"/>
              </w:rPr>
              <w:t xml:space="preserve">nsure that learning is acted </w:t>
            </w:r>
            <w:r w:rsidR="000A22CB" w:rsidRPr="00C2247C">
              <w:rPr>
                <w:rFonts w:cs="Arial"/>
                <w:sz w:val="24"/>
              </w:rPr>
              <w:t>on.</w:t>
            </w:r>
          </w:p>
          <w:p w14:paraId="010CBDF6" w14:textId="77777777" w:rsidR="002378F9" w:rsidRPr="00C2247C" w:rsidRDefault="002378F9" w:rsidP="00F7351D">
            <w:pPr>
              <w:pStyle w:val="Bullet"/>
              <w:numPr>
                <w:ilvl w:val="0"/>
                <w:numId w:val="0"/>
              </w:numPr>
              <w:ind w:left="360"/>
              <w:rPr>
                <w:rFonts w:cs="Arial"/>
                <w:kern w:val="36"/>
                <w:sz w:val="24"/>
              </w:rPr>
            </w:pPr>
          </w:p>
        </w:tc>
      </w:tr>
      <w:tr w:rsidR="002378F9" w:rsidRPr="00C2247C" w14:paraId="010CBDFD" w14:textId="77777777" w:rsidTr="00F7351D">
        <w:tc>
          <w:tcPr>
            <w:tcW w:w="2332" w:type="dxa"/>
            <w:shd w:val="clear" w:color="auto" w:fill="D9D9D9" w:themeFill="background1" w:themeFillShade="D9"/>
          </w:tcPr>
          <w:p w14:paraId="010CBDF8" w14:textId="74E156DA" w:rsidR="002378F9" w:rsidRPr="00C2247C" w:rsidRDefault="004225D9" w:rsidP="00D63590">
            <w:pPr>
              <w:jc w:val="left"/>
              <w:rPr>
                <w:rFonts w:cs="Arial"/>
                <w:b/>
                <w:sz w:val="24"/>
              </w:rPr>
            </w:pPr>
            <w:r w:rsidRPr="00C2247C">
              <w:rPr>
                <w:rFonts w:cs="Arial"/>
                <w:b/>
                <w:sz w:val="24"/>
              </w:rPr>
              <w:t xml:space="preserve">Clinical Governance </w:t>
            </w:r>
            <w:r w:rsidR="0064592E" w:rsidRPr="00C2247C">
              <w:rPr>
                <w:rFonts w:cs="Arial"/>
                <w:b/>
                <w:sz w:val="24"/>
              </w:rPr>
              <w:t>Team:</w:t>
            </w:r>
            <w:r w:rsidRPr="00C2247C">
              <w:rPr>
                <w:rFonts w:cs="Arial"/>
                <w:b/>
                <w:sz w:val="24"/>
              </w:rPr>
              <w:t xml:space="preserve"> Patient Safety, Quality &amp; Regulations</w:t>
            </w:r>
          </w:p>
        </w:tc>
        <w:tc>
          <w:tcPr>
            <w:tcW w:w="6903" w:type="dxa"/>
            <w:shd w:val="clear" w:color="auto" w:fill="auto"/>
          </w:tcPr>
          <w:p w14:paraId="010CBDF9" w14:textId="77777777" w:rsidR="002378F9" w:rsidRPr="00C2247C" w:rsidRDefault="002378F9" w:rsidP="00F7351D">
            <w:pPr>
              <w:rPr>
                <w:rFonts w:cs="Arial"/>
                <w:sz w:val="24"/>
              </w:rPr>
            </w:pPr>
            <w:r w:rsidRPr="00C2247C">
              <w:rPr>
                <w:rFonts w:cs="Arial"/>
                <w:sz w:val="24"/>
              </w:rPr>
              <w:t>These corporate Trust departments have a responsibility to ensure:</w:t>
            </w:r>
          </w:p>
          <w:p w14:paraId="010CBDFA" w14:textId="03CDCEA7" w:rsidR="002378F9" w:rsidRPr="00C2247C" w:rsidRDefault="004225D9" w:rsidP="008168F1">
            <w:pPr>
              <w:pStyle w:val="Bullet"/>
              <w:rPr>
                <w:rFonts w:cs="Arial"/>
                <w:sz w:val="24"/>
              </w:rPr>
            </w:pPr>
            <w:r w:rsidRPr="00C2247C">
              <w:rPr>
                <w:rFonts w:cs="Arial"/>
                <w:sz w:val="24"/>
              </w:rPr>
              <w:t>D</w:t>
            </w:r>
            <w:r w:rsidR="002378F9" w:rsidRPr="00C2247C">
              <w:rPr>
                <w:rFonts w:cs="Arial"/>
                <w:sz w:val="24"/>
              </w:rPr>
              <w:t xml:space="preserve">ata is collected and published to monitor trends in deaths with Board level oversight of this process </w:t>
            </w:r>
            <w:r w:rsidR="007E4912" w:rsidRPr="00C2247C">
              <w:rPr>
                <w:rFonts w:cs="Arial"/>
                <w:sz w:val="24"/>
              </w:rPr>
              <w:t xml:space="preserve">every quarter. </w:t>
            </w:r>
          </w:p>
          <w:p w14:paraId="010CBDFB" w14:textId="11A3A4E2" w:rsidR="002378F9" w:rsidRPr="00C2247C" w:rsidRDefault="002378F9" w:rsidP="008168F1">
            <w:pPr>
              <w:pStyle w:val="Bullet"/>
              <w:rPr>
                <w:rFonts w:cs="Arial"/>
                <w:sz w:val="24"/>
              </w:rPr>
            </w:pPr>
            <w:r w:rsidRPr="00C2247C">
              <w:rPr>
                <w:rFonts w:cs="Arial"/>
                <w:sz w:val="24"/>
              </w:rPr>
              <w:t xml:space="preserve">Ensuring the Datix incident reporting system is used to record deaths (expected and unexpected) in accordance with Trust policy. </w:t>
            </w:r>
          </w:p>
          <w:p w14:paraId="010CBDFC" w14:textId="417E657E" w:rsidR="002378F9" w:rsidRPr="00C2247C" w:rsidRDefault="00537185" w:rsidP="008168F1">
            <w:pPr>
              <w:pStyle w:val="Bullet"/>
              <w:rPr>
                <w:rFonts w:cs="Arial"/>
                <w:sz w:val="24"/>
              </w:rPr>
            </w:pPr>
            <w:r w:rsidRPr="00DC63B5">
              <w:rPr>
                <w:rFonts w:cs="Arial"/>
                <w:sz w:val="24"/>
              </w:rPr>
              <w:t>Information is p</w:t>
            </w:r>
            <w:r w:rsidR="002378F9" w:rsidRPr="00DC63B5">
              <w:rPr>
                <w:rFonts w:cs="Arial"/>
                <w:sz w:val="24"/>
              </w:rPr>
              <w:t>rocess</w:t>
            </w:r>
            <w:r w:rsidRPr="00DC63B5">
              <w:rPr>
                <w:rFonts w:cs="Arial"/>
                <w:sz w:val="24"/>
              </w:rPr>
              <w:t>ed</w:t>
            </w:r>
            <w:r w:rsidR="002378F9" w:rsidRPr="00DC63B5">
              <w:rPr>
                <w:rFonts w:cs="Arial"/>
                <w:sz w:val="24"/>
              </w:rPr>
              <w:t xml:space="preserve"> </w:t>
            </w:r>
            <w:r w:rsidRPr="00DC63B5">
              <w:rPr>
                <w:rFonts w:cs="Arial"/>
                <w:sz w:val="24"/>
              </w:rPr>
              <w:t xml:space="preserve">in a </w:t>
            </w:r>
            <w:r w:rsidR="002378F9" w:rsidRPr="00DC63B5">
              <w:rPr>
                <w:rFonts w:cs="Arial"/>
                <w:sz w:val="24"/>
              </w:rPr>
              <w:t xml:space="preserve">consistent and </w:t>
            </w:r>
            <w:r w:rsidRPr="00DC63B5">
              <w:rPr>
                <w:rFonts w:cs="Arial"/>
                <w:sz w:val="24"/>
              </w:rPr>
              <w:t xml:space="preserve">accurate </w:t>
            </w:r>
            <w:r w:rsidR="002378F9" w:rsidRPr="00DC63B5">
              <w:rPr>
                <w:rFonts w:cs="Arial"/>
                <w:sz w:val="24"/>
              </w:rPr>
              <w:t xml:space="preserve">way to </w:t>
            </w:r>
            <w:r w:rsidRPr="00DC63B5">
              <w:rPr>
                <w:rFonts w:cs="Arial"/>
                <w:sz w:val="24"/>
              </w:rPr>
              <w:t xml:space="preserve">meet agreed </w:t>
            </w:r>
            <w:r w:rsidR="002378F9" w:rsidRPr="00DC63B5">
              <w:rPr>
                <w:rFonts w:cs="Arial"/>
                <w:sz w:val="24"/>
              </w:rPr>
              <w:t xml:space="preserve">governance processes </w:t>
            </w:r>
            <w:r w:rsidRPr="00DC63B5">
              <w:rPr>
                <w:rFonts w:cs="Arial"/>
                <w:sz w:val="24"/>
              </w:rPr>
              <w:t xml:space="preserve">and </w:t>
            </w:r>
            <w:r w:rsidR="002378F9" w:rsidRPr="00DC63B5">
              <w:rPr>
                <w:rFonts w:cs="Arial"/>
                <w:sz w:val="24"/>
              </w:rPr>
              <w:t>to ensure high standards in mortality governance are maintained</w:t>
            </w:r>
            <w:r w:rsidR="000A22CB">
              <w:rPr>
                <w:rFonts w:cs="Arial"/>
                <w:sz w:val="24"/>
              </w:rPr>
              <w:t>.</w:t>
            </w:r>
          </w:p>
        </w:tc>
      </w:tr>
    </w:tbl>
    <w:p w14:paraId="010CBDFE" w14:textId="77777777" w:rsidR="002378F9" w:rsidRPr="00C2247C" w:rsidRDefault="002378F9" w:rsidP="00BB27C5">
      <w:pPr>
        <w:spacing w:before="120" w:after="120"/>
        <w:ind w:left="720"/>
        <w:rPr>
          <w:rFonts w:cs="Arial"/>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BB27C5" w:rsidRPr="00C2247C" w14:paraId="010CBE01" w14:textId="77777777" w:rsidTr="00F7351D">
        <w:tc>
          <w:tcPr>
            <w:tcW w:w="816" w:type="dxa"/>
            <w:shd w:val="clear" w:color="auto" w:fill="FFFFCC"/>
          </w:tcPr>
          <w:p w14:paraId="010CBDFF" w14:textId="77777777" w:rsidR="00BB27C5" w:rsidRPr="00C2247C" w:rsidRDefault="00BB27C5" w:rsidP="00F7351D">
            <w:pPr>
              <w:rPr>
                <w:rFonts w:cs="Arial"/>
                <w:sz w:val="24"/>
              </w:rPr>
            </w:pPr>
            <w:r w:rsidRPr="00C2247C">
              <w:rPr>
                <w:rFonts w:cs="Arial"/>
                <w:noProof/>
                <w:sz w:val="24"/>
              </w:rPr>
              <w:drawing>
                <wp:anchor distT="0" distB="0" distL="114300" distR="114300" simplePos="0" relativeHeight="251663360" behindDoc="0" locked="0" layoutInCell="1" allowOverlap="1" wp14:anchorId="010CBF31" wp14:editId="010CBF32">
                  <wp:simplePos x="0" y="0"/>
                  <wp:positionH relativeFrom="column">
                    <wp:posOffset>-9525</wp:posOffset>
                  </wp:positionH>
                  <wp:positionV relativeFrom="paragraph">
                    <wp:posOffset>5080</wp:posOffset>
                  </wp:positionV>
                  <wp:extent cx="372110" cy="350520"/>
                  <wp:effectExtent l="0" t="0" r="8890" b="0"/>
                  <wp:wrapSquare wrapText="bothSides"/>
                  <wp:docPr id="14" name="Picture 14"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19" w:type="dxa"/>
            <w:shd w:val="clear" w:color="auto" w:fill="FFFFCC"/>
          </w:tcPr>
          <w:p w14:paraId="010CBE00" w14:textId="66D4A9CC" w:rsidR="00BB27C5" w:rsidRPr="00C2247C" w:rsidRDefault="00BB27C5" w:rsidP="00F7351D">
            <w:pPr>
              <w:spacing w:before="0"/>
              <w:rPr>
                <w:rFonts w:cs="Arial"/>
                <w:sz w:val="24"/>
                <w:highlight w:val="cyan"/>
              </w:rPr>
            </w:pPr>
            <w:r w:rsidRPr="00C2247C">
              <w:rPr>
                <w:rFonts w:cs="Arial"/>
                <w:sz w:val="24"/>
                <w:shd w:val="clear" w:color="auto" w:fill="FFFFCC"/>
              </w:rPr>
              <w:t xml:space="preserve">The Trust requires all staff to be open, </w:t>
            </w:r>
            <w:r w:rsidR="002B213B" w:rsidRPr="00C2247C">
              <w:rPr>
                <w:rFonts w:cs="Arial"/>
                <w:sz w:val="24"/>
                <w:shd w:val="clear" w:color="auto" w:fill="FFFFCC"/>
              </w:rPr>
              <w:t>honest,</w:t>
            </w:r>
            <w:r w:rsidRPr="00C2247C">
              <w:rPr>
                <w:rFonts w:cs="Arial"/>
                <w:sz w:val="24"/>
                <w:shd w:val="clear" w:color="auto" w:fill="FFFFCC"/>
              </w:rPr>
              <w:t xml:space="preserve"> and transparent about reporting deaths and for engaging with families and carers, actively enabling them to ask questions about care and identify if care can be improved.</w:t>
            </w:r>
            <w:r w:rsidR="00DC63B5">
              <w:rPr>
                <w:rFonts w:cs="Arial"/>
                <w:sz w:val="24"/>
                <w:shd w:val="clear" w:color="auto" w:fill="FFFFCC"/>
              </w:rPr>
              <w:t xml:space="preserve"> </w:t>
            </w:r>
            <w:r w:rsidR="0064592E">
              <w:rPr>
                <w:rFonts w:cs="Arial"/>
                <w:sz w:val="24"/>
                <w:shd w:val="clear" w:color="auto" w:fill="FFFFCC"/>
              </w:rPr>
              <w:t xml:space="preserve">Use in conjunction with </w:t>
            </w:r>
            <w:r w:rsidR="00DC63B5">
              <w:rPr>
                <w:rFonts w:cs="Arial"/>
                <w:sz w:val="24"/>
                <w:shd w:val="clear" w:color="auto" w:fill="FFFFCC"/>
              </w:rPr>
              <w:t xml:space="preserve">Duty of Candour Policy. </w:t>
            </w:r>
            <w:r w:rsidRPr="00C2247C">
              <w:rPr>
                <w:rFonts w:cs="Arial"/>
                <w:sz w:val="24"/>
              </w:rPr>
              <w:t xml:space="preserve">  </w:t>
            </w:r>
          </w:p>
        </w:tc>
      </w:tr>
    </w:tbl>
    <w:p w14:paraId="010CBE02" w14:textId="69F1DF1B" w:rsidR="00BB27C5" w:rsidRPr="00C2247C" w:rsidRDefault="00BB27C5" w:rsidP="00BB27C5">
      <w:pPr>
        <w:rPr>
          <w:rFonts w:cs="Arial"/>
          <w:b/>
          <w:sz w:val="24"/>
        </w:rPr>
      </w:pPr>
      <w:r w:rsidRPr="00C2247C">
        <w:rPr>
          <w:rFonts w:cs="Arial"/>
          <w:b/>
          <w:sz w:val="24"/>
        </w:rPr>
        <w:t>1.</w:t>
      </w:r>
      <w:r w:rsidR="007628B0" w:rsidRPr="00C2247C">
        <w:rPr>
          <w:rFonts w:cs="Arial"/>
          <w:b/>
          <w:sz w:val="24"/>
        </w:rPr>
        <w:t>7</w:t>
      </w:r>
      <w:r w:rsidRPr="00C2247C">
        <w:rPr>
          <w:rFonts w:cs="Arial"/>
          <w:b/>
          <w:sz w:val="24"/>
        </w:rPr>
        <w:tab/>
        <w:t>Policy</w:t>
      </w:r>
    </w:p>
    <w:p w14:paraId="010CBE03" w14:textId="17AECD7E" w:rsidR="00BB27C5" w:rsidRPr="00C2247C" w:rsidRDefault="00BB27C5" w:rsidP="00BB27C5">
      <w:pPr>
        <w:rPr>
          <w:rFonts w:cs="Arial"/>
          <w:b/>
          <w:sz w:val="24"/>
        </w:rPr>
      </w:pPr>
      <w:r w:rsidRPr="00C2247C">
        <w:rPr>
          <w:rFonts w:cs="Arial"/>
          <w:b/>
          <w:sz w:val="24"/>
        </w:rPr>
        <w:t>1.</w:t>
      </w:r>
      <w:r w:rsidR="007628B0" w:rsidRPr="00C2247C">
        <w:rPr>
          <w:rFonts w:cs="Arial"/>
          <w:b/>
          <w:sz w:val="24"/>
        </w:rPr>
        <w:t>7</w:t>
      </w:r>
      <w:r w:rsidRPr="00C2247C">
        <w:rPr>
          <w:rFonts w:cs="Arial"/>
          <w:b/>
          <w:sz w:val="24"/>
        </w:rPr>
        <w:t>.1</w:t>
      </w:r>
      <w:r w:rsidRPr="00C2247C">
        <w:rPr>
          <w:rFonts w:cs="Arial"/>
          <w:b/>
          <w:sz w:val="24"/>
        </w:rPr>
        <w:tab/>
        <w:t>Encouraging a learning from deaths culture</w:t>
      </w:r>
    </w:p>
    <w:p w14:paraId="010CBE04" w14:textId="2ACBD7E6" w:rsidR="00BB27C5" w:rsidRDefault="00FF7CAC" w:rsidP="00BB27C5">
      <w:pPr>
        <w:ind w:left="720"/>
        <w:rPr>
          <w:rFonts w:cs="Arial"/>
          <w:sz w:val="24"/>
        </w:rPr>
      </w:pPr>
      <w:r w:rsidRPr="00825962">
        <w:rPr>
          <w:rFonts w:cs="Arial"/>
          <w:sz w:val="24"/>
        </w:rPr>
        <w:t>Through</w:t>
      </w:r>
      <w:r w:rsidR="00594F86" w:rsidRPr="00825962">
        <w:rPr>
          <w:rFonts w:cs="Arial"/>
          <w:sz w:val="24"/>
        </w:rPr>
        <w:t xml:space="preserve"> developing </w:t>
      </w:r>
      <w:r w:rsidR="00BB27C5" w:rsidRPr="00825962">
        <w:rPr>
          <w:rFonts w:cs="Arial"/>
          <w:sz w:val="24"/>
        </w:rPr>
        <w:t>staff</w:t>
      </w:r>
      <w:r w:rsidR="00594F86" w:rsidRPr="00825962">
        <w:rPr>
          <w:rFonts w:cs="Arial"/>
          <w:sz w:val="24"/>
        </w:rPr>
        <w:t xml:space="preserve"> confidence</w:t>
      </w:r>
      <w:r w:rsidR="00BB27C5" w:rsidRPr="00825962">
        <w:rPr>
          <w:rFonts w:cs="Arial"/>
          <w:sz w:val="24"/>
        </w:rPr>
        <w:t xml:space="preserve"> </w:t>
      </w:r>
      <w:r w:rsidR="00594F86" w:rsidRPr="00825962">
        <w:rPr>
          <w:rFonts w:cs="Arial"/>
          <w:sz w:val="24"/>
        </w:rPr>
        <w:t xml:space="preserve">in engaging with families we are seeking to create an </w:t>
      </w:r>
      <w:r w:rsidR="00BB27C5" w:rsidRPr="00825962">
        <w:rPr>
          <w:rFonts w:cs="Arial"/>
          <w:sz w:val="24"/>
        </w:rPr>
        <w:t xml:space="preserve">open culture </w:t>
      </w:r>
      <w:r w:rsidR="00594F86" w:rsidRPr="00825962">
        <w:rPr>
          <w:rFonts w:cs="Arial"/>
          <w:sz w:val="24"/>
        </w:rPr>
        <w:t>that hears</w:t>
      </w:r>
      <w:r w:rsidR="00BB27C5" w:rsidRPr="00825962">
        <w:rPr>
          <w:rFonts w:cs="Arial"/>
          <w:sz w:val="24"/>
        </w:rPr>
        <w:t xml:space="preserve"> </w:t>
      </w:r>
      <w:r w:rsidR="00AE4F6A" w:rsidRPr="00825962">
        <w:rPr>
          <w:rFonts w:cs="Arial"/>
          <w:sz w:val="24"/>
        </w:rPr>
        <w:t>the voice</w:t>
      </w:r>
      <w:r w:rsidR="00AE4F6A" w:rsidRPr="00825962" w:rsidDel="00AE4F6A">
        <w:rPr>
          <w:rFonts w:cs="Arial"/>
          <w:sz w:val="24"/>
        </w:rPr>
        <w:t xml:space="preserve"> </w:t>
      </w:r>
      <w:r w:rsidR="00AE4F6A" w:rsidRPr="00825962">
        <w:rPr>
          <w:rFonts w:cs="Arial"/>
          <w:sz w:val="24"/>
        </w:rPr>
        <w:t xml:space="preserve">of </w:t>
      </w:r>
      <w:r w:rsidR="00BB27C5" w:rsidRPr="00825962">
        <w:rPr>
          <w:rFonts w:cs="Arial"/>
          <w:sz w:val="24"/>
        </w:rPr>
        <w:t>families and carers</w:t>
      </w:r>
      <w:r w:rsidR="00594F86" w:rsidRPr="00825962">
        <w:rPr>
          <w:rFonts w:cs="Arial"/>
          <w:sz w:val="24"/>
        </w:rPr>
        <w:t xml:space="preserve"> to </w:t>
      </w:r>
      <w:r w:rsidR="00BB27C5" w:rsidRPr="00825962">
        <w:rPr>
          <w:rFonts w:cs="Arial"/>
          <w:sz w:val="24"/>
        </w:rPr>
        <w:t>identify</w:t>
      </w:r>
      <w:r w:rsidR="00594F86" w:rsidRPr="00825962">
        <w:rPr>
          <w:rFonts w:cs="Arial"/>
          <w:sz w:val="24"/>
        </w:rPr>
        <w:t xml:space="preserve"> </w:t>
      </w:r>
      <w:r w:rsidR="00594F86" w:rsidRPr="00825962">
        <w:rPr>
          <w:rFonts w:cs="Arial"/>
          <w:sz w:val="24"/>
        </w:rPr>
        <w:lastRenderedPageBreak/>
        <w:t>learning</w:t>
      </w:r>
      <w:r w:rsidR="005D7A37" w:rsidRPr="00825962">
        <w:rPr>
          <w:rFonts w:cs="Arial"/>
          <w:sz w:val="24"/>
        </w:rPr>
        <w:t xml:space="preserve">. We will look to learn and share what we do well </w:t>
      </w:r>
      <w:r w:rsidR="00AE4F6A" w:rsidRPr="00825962">
        <w:rPr>
          <w:rFonts w:cs="Arial"/>
          <w:sz w:val="24"/>
        </w:rPr>
        <w:t xml:space="preserve">alongside areas </w:t>
      </w:r>
      <w:r w:rsidR="00825962" w:rsidRPr="00825962">
        <w:rPr>
          <w:rFonts w:cs="Arial"/>
          <w:sz w:val="24"/>
        </w:rPr>
        <w:t>we need</w:t>
      </w:r>
      <w:r w:rsidR="00AE4F6A" w:rsidRPr="00825962">
        <w:rPr>
          <w:rFonts w:cs="Arial"/>
          <w:sz w:val="24"/>
        </w:rPr>
        <w:t xml:space="preserve"> to consider for action and</w:t>
      </w:r>
      <w:r w:rsidR="005D7A37" w:rsidRPr="00825962">
        <w:rPr>
          <w:rFonts w:cs="Arial"/>
          <w:sz w:val="24"/>
        </w:rPr>
        <w:t xml:space="preserve"> improvement. </w:t>
      </w:r>
    </w:p>
    <w:p w14:paraId="010CBE05" w14:textId="3E7EFC56" w:rsidR="00BB27C5" w:rsidRPr="00C2247C" w:rsidRDefault="00BB27C5" w:rsidP="00BB27C5">
      <w:pPr>
        <w:tabs>
          <w:tab w:val="left" w:pos="0"/>
        </w:tabs>
        <w:spacing w:before="120" w:after="240"/>
        <w:jc w:val="left"/>
        <w:rPr>
          <w:rFonts w:cs="Arial"/>
          <w:b/>
          <w:sz w:val="24"/>
        </w:rPr>
      </w:pPr>
      <w:r w:rsidRPr="00C2247C">
        <w:rPr>
          <w:rFonts w:cs="Arial"/>
          <w:b/>
          <w:sz w:val="24"/>
        </w:rPr>
        <w:t>1.</w:t>
      </w:r>
      <w:r w:rsidR="007628B0" w:rsidRPr="00C2247C">
        <w:rPr>
          <w:rFonts w:cs="Arial"/>
          <w:b/>
          <w:sz w:val="24"/>
        </w:rPr>
        <w:t>7</w:t>
      </w:r>
      <w:r w:rsidRPr="00C2247C">
        <w:rPr>
          <w:rFonts w:cs="Arial"/>
          <w:b/>
          <w:sz w:val="24"/>
        </w:rPr>
        <w:t>.2</w:t>
      </w:r>
      <w:r w:rsidRPr="00C2247C">
        <w:rPr>
          <w:rFonts w:cs="Arial"/>
          <w:b/>
          <w:sz w:val="24"/>
        </w:rPr>
        <w:tab/>
        <w:t>Family engagement:</w:t>
      </w:r>
    </w:p>
    <w:p w14:paraId="010CBE06" w14:textId="5936E5C4" w:rsidR="00BB27C5" w:rsidRPr="00C2247C" w:rsidRDefault="0094642F" w:rsidP="00BB27C5">
      <w:pPr>
        <w:ind w:left="720"/>
        <w:rPr>
          <w:rFonts w:cs="Arial"/>
          <w:sz w:val="24"/>
        </w:rPr>
      </w:pPr>
      <w:r w:rsidRPr="00825962">
        <w:rPr>
          <w:rFonts w:cs="Arial"/>
          <w:color w:val="000000" w:themeColor="text1"/>
          <w:sz w:val="24"/>
        </w:rPr>
        <w:t>R</w:t>
      </w:r>
      <w:r w:rsidR="00BD4D13" w:rsidRPr="00825962">
        <w:rPr>
          <w:rFonts w:cs="Arial"/>
          <w:color w:val="000000" w:themeColor="text1"/>
          <w:sz w:val="24"/>
        </w:rPr>
        <w:t>esponding</w:t>
      </w:r>
      <w:r w:rsidR="00BB27C5" w:rsidRPr="00C2247C">
        <w:rPr>
          <w:rFonts w:cs="Arial"/>
          <w:sz w:val="24"/>
        </w:rPr>
        <w:t xml:space="preserve"> respectfully, </w:t>
      </w:r>
      <w:r w:rsidR="002B213B" w:rsidRPr="00C2247C">
        <w:rPr>
          <w:rFonts w:cs="Arial"/>
          <w:sz w:val="24"/>
        </w:rPr>
        <w:t>sensitively,</w:t>
      </w:r>
      <w:r w:rsidR="00BB27C5" w:rsidRPr="00C2247C">
        <w:rPr>
          <w:rFonts w:cs="Arial"/>
          <w:sz w:val="24"/>
        </w:rPr>
        <w:t xml:space="preserve"> and compassionately with families and carers when someone has died is crucially important. At times families may have questions, and/or concerns they would like answers to in relation to the care and treatment their loved one received but don’t always want to make a complaint.  </w:t>
      </w:r>
    </w:p>
    <w:p w14:paraId="5BEE87EF" w14:textId="1DC78517" w:rsidR="00EC0B13" w:rsidRDefault="00BB27C5" w:rsidP="00BB27C5">
      <w:pPr>
        <w:ind w:left="720"/>
        <w:rPr>
          <w:rFonts w:cs="Arial"/>
          <w:sz w:val="24"/>
        </w:rPr>
      </w:pPr>
      <w:r w:rsidRPr="00C2247C">
        <w:rPr>
          <w:rFonts w:cs="Arial"/>
          <w:sz w:val="24"/>
        </w:rPr>
        <w:t>Where clinicians have had close contact with a service user and their family/carer, they will often be the first to offer condolences and support and to give appropriate information to those involved regarding the opportunity to be involved in the review of the care</w:t>
      </w:r>
      <w:r w:rsidR="00C3507F">
        <w:rPr>
          <w:rFonts w:cs="Arial"/>
          <w:sz w:val="24"/>
        </w:rPr>
        <w:t>.</w:t>
      </w:r>
      <w:r w:rsidRPr="00C2247C">
        <w:rPr>
          <w:rFonts w:cs="Arial"/>
          <w:sz w:val="24"/>
        </w:rPr>
        <w:t xml:space="preserve"> </w:t>
      </w:r>
      <w:r w:rsidR="0064592E">
        <w:rPr>
          <w:rFonts w:cs="Arial"/>
          <w:sz w:val="24"/>
        </w:rPr>
        <w:t xml:space="preserve"> </w:t>
      </w:r>
      <w:r w:rsidR="00C3507F">
        <w:rPr>
          <w:rFonts w:cs="Arial"/>
          <w:sz w:val="24"/>
        </w:rPr>
        <w:t>F</w:t>
      </w:r>
      <w:r w:rsidR="0064592E">
        <w:rPr>
          <w:rFonts w:cs="Arial"/>
          <w:sz w:val="24"/>
        </w:rPr>
        <w:t xml:space="preserve">urther information is contained within policy </w:t>
      </w:r>
      <w:r w:rsidR="00EE4CAA" w:rsidRPr="00C2247C">
        <w:rPr>
          <w:rFonts w:cs="Arial"/>
          <w:sz w:val="24"/>
        </w:rPr>
        <w:t>C-0060 Duty of Candour</w:t>
      </w:r>
      <w:r w:rsidR="00EC0B13">
        <w:rPr>
          <w:rFonts w:cs="Arial"/>
          <w:sz w:val="24"/>
        </w:rPr>
        <w:t>.</w:t>
      </w:r>
      <w:r w:rsidRPr="00C2247C">
        <w:rPr>
          <w:rFonts w:cs="Arial"/>
          <w:sz w:val="24"/>
        </w:rPr>
        <w:t xml:space="preserve"> There </w:t>
      </w:r>
      <w:r w:rsidR="00DC63B5">
        <w:rPr>
          <w:rFonts w:cs="Arial"/>
          <w:sz w:val="24"/>
        </w:rPr>
        <w:t>may be</w:t>
      </w:r>
      <w:r w:rsidR="00EC0B13">
        <w:rPr>
          <w:rFonts w:cs="Arial"/>
          <w:sz w:val="24"/>
        </w:rPr>
        <w:t xml:space="preserve"> times</w:t>
      </w:r>
      <w:r w:rsidRPr="00C2247C">
        <w:rPr>
          <w:rFonts w:cs="Arial"/>
          <w:sz w:val="24"/>
        </w:rPr>
        <w:t xml:space="preserve"> where the</w:t>
      </w:r>
      <w:r w:rsidR="00EC0B13">
        <w:rPr>
          <w:rFonts w:cs="Arial"/>
          <w:sz w:val="24"/>
        </w:rPr>
        <w:t>re is a delay in the</w:t>
      </w:r>
      <w:r w:rsidRPr="00C2247C">
        <w:rPr>
          <w:rFonts w:cs="Arial"/>
          <w:sz w:val="24"/>
        </w:rPr>
        <w:t xml:space="preserve"> Trust </w:t>
      </w:r>
      <w:r w:rsidR="00EC0B13">
        <w:rPr>
          <w:rFonts w:cs="Arial"/>
          <w:sz w:val="24"/>
        </w:rPr>
        <w:t xml:space="preserve">being notified </w:t>
      </w:r>
      <w:r w:rsidR="00DC63B5">
        <w:rPr>
          <w:rFonts w:cs="Arial"/>
          <w:sz w:val="24"/>
        </w:rPr>
        <w:t xml:space="preserve">of </w:t>
      </w:r>
      <w:r w:rsidR="00DC63B5" w:rsidRPr="00C2247C">
        <w:rPr>
          <w:rFonts w:cs="Arial"/>
          <w:sz w:val="24"/>
        </w:rPr>
        <w:t>the</w:t>
      </w:r>
      <w:r w:rsidRPr="00C2247C">
        <w:rPr>
          <w:rFonts w:cs="Arial"/>
          <w:sz w:val="24"/>
        </w:rPr>
        <w:t xml:space="preserve"> death of a service user. In these circumstances a discussion should take place between the </w:t>
      </w:r>
      <w:r w:rsidR="00EC0B13">
        <w:rPr>
          <w:rFonts w:cs="Arial"/>
          <w:sz w:val="24"/>
        </w:rPr>
        <w:t>Clinical Governance Team</w:t>
      </w:r>
      <w:r w:rsidRPr="00C2247C">
        <w:rPr>
          <w:rFonts w:cs="Arial"/>
          <w:sz w:val="24"/>
        </w:rPr>
        <w:t xml:space="preserve"> and the clinical team involved to determine the best approach.</w:t>
      </w:r>
    </w:p>
    <w:p w14:paraId="010CBE0A" w14:textId="5E0E44E0" w:rsidR="00BE1C75" w:rsidRPr="00C2247C" w:rsidRDefault="00BE1C75" w:rsidP="00BE1C75">
      <w:pPr>
        <w:ind w:left="720"/>
        <w:rPr>
          <w:rFonts w:cs="Arial"/>
          <w:sz w:val="24"/>
        </w:rPr>
      </w:pPr>
      <w:r w:rsidRPr="00A35984">
        <w:rPr>
          <w:rFonts w:cs="Arial"/>
          <w:sz w:val="24"/>
        </w:rPr>
        <w:t xml:space="preserve">It is understood that dealing with the death of a loved one is a sensitive matter for families, </w:t>
      </w:r>
      <w:r w:rsidR="002B213B" w:rsidRPr="00A35984">
        <w:rPr>
          <w:rFonts w:cs="Arial"/>
          <w:sz w:val="24"/>
        </w:rPr>
        <w:t>carers,</w:t>
      </w:r>
      <w:r w:rsidRPr="00A35984">
        <w:rPr>
          <w:rFonts w:cs="Arial"/>
          <w:sz w:val="24"/>
        </w:rPr>
        <w:t xml:space="preserve"> and staff and that all situations are different. </w:t>
      </w:r>
      <w:r w:rsidR="00062E99" w:rsidRPr="00C2247C">
        <w:rPr>
          <w:rFonts w:cs="Arial"/>
          <w:sz w:val="24"/>
        </w:rPr>
        <w:t>The T</w:t>
      </w:r>
      <w:r w:rsidRPr="00C2247C">
        <w:rPr>
          <w:rFonts w:cs="Arial"/>
          <w:sz w:val="24"/>
        </w:rPr>
        <w:t>rust</w:t>
      </w:r>
      <w:r w:rsidR="00062E99" w:rsidRPr="00C2247C">
        <w:rPr>
          <w:rFonts w:cs="Arial"/>
          <w:sz w:val="24"/>
        </w:rPr>
        <w:t>’</w:t>
      </w:r>
      <w:r w:rsidRPr="00C2247C">
        <w:rPr>
          <w:rFonts w:cs="Arial"/>
          <w:sz w:val="24"/>
        </w:rPr>
        <w:t>s approach should be to treat the family/carer as an equal in the review process from the beginning</w:t>
      </w:r>
      <w:r w:rsidR="00C3507F">
        <w:rPr>
          <w:rFonts w:cs="Arial"/>
          <w:sz w:val="24"/>
        </w:rPr>
        <w:t>,</w:t>
      </w:r>
      <w:r w:rsidRPr="00C2247C">
        <w:rPr>
          <w:rFonts w:cs="Arial"/>
          <w:sz w:val="24"/>
        </w:rPr>
        <w:t xml:space="preserve"> taking their views and opinions into account at each stage. </w:t>
      </w:r>
    </w:p>
    <w:p w14:paraId="010CBE0B" w14:textId="4E17F268" w:rsidR="00BE1C75" w:rsidRPr="00C2247C" w:rsidRDefault="00BE1C75" w:rsidP="00BE1C75">
      <w:pPr>
        <w:ind w:firstLine="720"/>
        <w:rPr>
          <w:rFonts w:cs="Arial"/>
          <w:sz w:val="24"/>
        </w:rPr>
      </w:pPr>
      <w:r w:rsidRPr="00C2247C">
        <w:rPr>
          <w:rFonts w:cs="Arial"/>
          <w:sz w:val="24"/>
        </w:rPr>
        <w:t xml:space="preserve">Families can choose how they wish to </w:t>
      </w:r>
      <w:r w:rsidR="002B213B" w:rsidRPr="00C2247C">
        <w:rPr>
          <w:rFonts w:cs="Arial"/>
          <w:sz w:val="24"/>
        </w:rPr>
        <w:t>be involved;</w:t>
      </w:r>
      <w:r w:rsidRPr="00C2247C">
        <w:rPr>
          <w:rFonts w:cs="Arial"/>
          <w:sz w:val="24"/>
        </w:rPr>
        <w:t xml:space="preserve"> this may include: </w:t>
      </w:r>
    </w:p>
    <w:p w14:paraId="010CBE0C" w14:textId="3B5E23EE" w:rsidR="00BE1C75" w:rsidRPr="00C2247C" w:rsidRDefault="00BE1C75" w:rsidP="008168F1">
      <w:pPr>
        <w:pStyle w:val="ListParagraph"/>
        <w:numPr>
          <w:ilvl w:val="0"/>
          <w:numId w:val="9"/>
        </w:numPr>
        <w:spacing w:before="60" w:after="60"/>
        <w:ind w:left="1418" w:hanging="284"/>
        <w:jc w:val="left"/>
        <w:rPr>
          <w:rFonts w:cs="Arial"/>
          <w:sz w:val="24"/>
        </w:rPr>
      </w:pPr>
      <w:r w:rsidRPr="00C2247C">
        <w:rPr>
          <w:rFonts w:cs="Arial"/>
          <w:sz w:val="24"/>
        </w:rPr>
        <w:t xml:space="preserve">agreeing the level of the review / investigation (see </w:t>
      </w:r>
      <w:r w:rsidR="00AC7C46" w:rsidRPr="00C2247C">
        <w:rPr>
          <w:rFonts w:cs="Arial"/>
          <w:sz w:val="24"/>
        </w:rPr>
        <w:t>1.6</w:t>
      </w:r>
      <w:r w:rsidRPr="00C2247C">
        <w:rPr>
          <w:rFonts w:cs="Arial"/>
          <w:sz w:val="24"/>
        </w:rPr>
        <w:t>.5</w:t>
      </w:r>
      <w:r w:rsidR="002B213B" w:rsidRPr="00C2247C">
        <w:rPr>
          <w:rFonts w:cs="Arial"/>
          <w:sz w:val="24"/>
        </w:rPr>
        <w:t>).</w:t>
      </w:r>
      <w:r w:rsidRPr="00C2247C">
        <w:rPr>
          <w:rFonts w:cs="Arial"/>
          <w:sz w:val="24"/>
        </w:rPr>
        <w:t xml:space="preserve">  </w:t>
      </w:r>
    </w:p>
    <w:p w14:paraId="010CBE0D" w14:textId="0C95AB5F" w:rsidR="00BE1C75" w:rsidRPr="00C2247C" w:rsidRDefault="0064592E" w:rsidP="008168F1">
      <w:pPr>
        <w:pStyle w:val="ListParagraph"/>
        <w:numPr>
          <w:ilvl w:val="0"/>
          <w:numId w:val="9"/>
        </w:numPr>
        <w:spacing w:before="60" w:after="60"/>
        <w:ind w:left="1418" w:hanging="284"/>
        <w:jc w:val="left"/>
        <w:rPr>
          <w:rFonts w:cs="Arial"/>
          <w:sz w:val="24"/>
        </w:rPr>
      </w:pPr>
      <w:r w:rsidRPr="00C2247C">
        <w:rPr>
          <w:rFonts w:cs="Arial"/>
          <w:sz w:val="24"/>
        </w:rPr>
        <w:t>contributing to</w:t>
      </w:r>
      <w:r w:rsidR="00BE1C75" w:rsidRPr="00C2247C">
        <w:rPr>
          <w:rFonts w:cs="Arial"/>
          <w:sz w:val="24"/>
        </w:rPr>
        <w:t xml:space="preserve"> the terms of reference for </w:t>
      </w:r>
      <w:r w:rsidR="00DC63B5">
        <w:rPr>
          <w:rFonts w:cs="Arial"/>
          <w:sz w:val="24"/>
        </w:rPr>
        <w:t>patient safety investigations or</w:t>
      </w:r>
      <w:r w:rsidR="00BE1C75" w:rsidRPr="00C2247C">
        <w:rPr>
          <w:rFonts w:cs="Arial"/>
          <w:sz w:val="24"/>
        </w:rPr>
        <w:t xml:space="preserve"> </w:t>
      </w:r>
      <w:r w:rsidR="002B213B" w:rsidRPr="00C2247C">
        <w:rPr>
          <w:rFonts w:cs="Arial"/>
          <w:sz w:val="24"/>
        </w:rPr>
        <w:t>reviews.</w:t>
      </w:r>
      <w:r w:rsidR="00BE1C75" w:rsidRPr="00C2247C">
        <w:rPr>
          <w:rFonts w:cs="Arial"/>
          <w:sz w:val="24"/>
        </w:rPr>
        <w:t xml:space="preserve"> </w:t>
      </w:r>
    </w:p>
    <w:p w14:paraId="010CBE0E" w14:textId="4B2DF36B" w:rsidR="00BE1C75" w:rsidRPr="00C2247C" w:rsidRDefault="00BE1C75" w:rsidP="008168F1">
      <w:pPr>
        <w:pStyle w:val="ListParagraph"/>
        <w:numPr>
          <w:ilvl w:val="0"/>
          <w:numId w:val="9"/>
        </w:numPr>
        <w:spacing w:before="60" w:after="60"/>
        <w:ind w:left="1418" w:hanging="284"/>
        <w:jc w:val="left"/>
        <w:rPr>
          <w:rFonts w:cs="Arial"/>
          <w:sz w:val="24"/>
        </w:rPr>
      </w:pPr>
      <w:r w:rsidRPr="00C2247C">
        <w:rPr>
          <w:rFonts w:cs="Arial"/>
          <w:sz w:val="24"/>
        </w:rPr>
        <w:t xml:space="preserve">providing evidence / contributions to the review or investigation </w:t>
      </w:r>
      <w:r w:rsidR="002B213B" w:rsidRPr="00C2247C">
        <w:rPr>
          <w:rFonts w:cs="Arial"/>
          <w:sz w:val="24"/>
        </w:rPr>
        <w:t>e.g.,</w:t>
      </w:r>
      <w:r w:rsidRPr="00C2247C">
        <w:rPr>
          <w:rFonts w:cs="Arial"/>
          <w:sz w:val="24"/>
        </w:rPr>
        <w:t xml:space="preserve"> providing a pen portrait of the person, </w:t>
      </w:r>
      <w:r w:rsidR="002B213B" w:rsidRPr="00C2247C">
        <w:rPr>
          <w:rFonts w:cs="Arial"/>
          <w:sz w:val="24"/>
        </w:rPr>
        <w:t>timeline</w:t>
      </w:r>
      <w:r w:rsidRPr="00C2247C">
        <w:rPr>
          <w:rFonts w:cs="Arial"/>
          <w:sz w:val="24"/>
        </w:rPr>
        <w:t xml:space="preserve"> of events</w:t>
      </w:r>
      <w:r w:rsidR="00C3507F">
        <w:rPr>
          <w:rFonts w:cs="Arial"/>
          <w:sz w:val="24"/>
        </w:rPr>
        <w:t>.</w:t>
      </w:r>
    </w:p>
    <w:p w14:paraId="010CBE0F" w14:textId="1F488B8E" w:rsidR="00BE1C75" w:rsidRPr="00C2247C" w:rsidRDefault="00BE1C75" w:rsidP="008168F1">
      <w:pPr>
        <w:pStyle w:val="ListParagraph"/>
        <w:numPr>
          <w:ilvl w:val="0"/>
          <w:numId w:val="9"/>
        </w:numPr>
        <w:spacing w:before="60" w:after="60"/>
        <w:ind w:left="1418" w:hanging="284"/>
        <w:jc w:val="left"/>
        <w:rPr>
          <w:rFonts w:cs="Arial"/>
          <w:sz w:val="24"/>
        </w:rPr>
      </w:pPr>
      <w:r w:rsidRPr="00C2247C">
        <w:rPr>
          <w:rFonts w:cs="Arial"/>
          <w:sz w:val="24"/>
        </w:rPr>
        <w:t xml:space="preserve">Commenting on a draft report. </w:t>
      </w:r>
    </w:p>
    <w:p w14:paraId="010CBE10" w14:textId="5A33CA72" w:rsidR="00BE1C75" w:rsidRPr="00C2247C" w:rsidRDefault="000124E9" w:rsidP="00BE1C75">
      <w:pPr>
        <w:ind w:left="720"/>
        <w:rPr>
          <w:rFonts w:cs="Arial"/>
          <w:sz w:val="24"/>
        </w:rPr>
      </w:pPr>
      <w:r w:rsidRPr="00C2247C">
        <w:rPr>
          <w:rFonts w:cs="Arial"/>
          <w:sz w:val="24"/>
        </w:rPr>
        <w:t>Families/C</w:t>
      </w:r>
      <w:r w:rsidR="00BE1C75" w:rsidRPr="00C2247C">
        <w:rPr>
          <w:rFonts w:cs="Arial"/>
          <w:sz w:val="24"/>
        </w:rPr>
        <w:t xml:space="preserve">arers should also be given the option of seeing </w:t>
      </w:r>
      <w:r w:rsidR="00282566" w:rsidRPr="00C2247C">
        <w:rPr>
          <w:rFonts w:cs="Arial"/>
          <w:sz w:val="24"/>
        </w:rPr>
        <w:t>final reports</w:t>
      </w:r>
      <w:r w:rsidR="00BE1C75" w:rsidRPr="00C2247C">
        <w:rPr>
          <w:rFonts w:cs="Arial"/>
          <w:sz w:val="24"/>
        </w:rPr>
        <w:t xml:space="preserve"> to ensure they are comfortable with any findings. Ideally this should be undertaken in a </w:t>
      </w:r>
      <w:r w:rsidR="002B213B" w:rsidRPr="00C2247C">
        <w:rPr>
          <w:rFonts w:cs="Arial"/>
          <w:sz w:val="24"/>
        </w:rPr>
        <w:t>face-to-face</w:t>
      </w:r>
      <w:r w:rsidR="00BE1C75" w:rsidRPr="00C2247C">
        <w:rPr>
          <w:rFonts w:cs="Arial"/>
          <w:sz w:val="24"/>
        </w:rPr>
        <w:t xml:space="preserve"> meeting with a staff member talking the family member/carer through the report. </w:t>
      </w:r>
    </w:p>
    <w:p w14:paraId="010CBE11" w14:textId="3F62F6B0" w:rsidR="00BE1C75" w:rsidRPr="00C2247C" w:rsidRDefault="00BE1C75" w:rsidP="00BE1C75">
      <w:pPr>
        <w:ind w:left="720"/>
        <w:rPr>
          <w:rFonts w:cs="Arial"/>
          <w:sz w:val="24"/>
        </w:rPr>
      </w:pPr>
      <w:r w:rsidRPr="00C2247C">
        <w:rPr>
          <w:rFonts w:cs="Arial"/>
          <w:sz w:val="24"/>
        </w:rPr>
        <w:t xml:space="preserve">To support families, we will provide a range of information for </w:t>
      </w:r>
      <w:r w:rsidR="00282566" w:rsidRPr="00C2247C">
        <w:rPr>
          <w:rFonts w:cs="Arial"/>
          <w:sz w:val="24"/>
        </w:rPr>
        <w:t>relatives that explain</w:t>
      </w:r>
      <w:r w:rsidRPr="00C2247C">
        <w:rPr>
          <w:rFonts w:cs="Arial"/>
          <w:sz w:val="24"/>
        </w:rPr>
        <w:t xml:space="preserve"> these processes and what they can expect.  This </w:t>
      </w:r>
      <w:r w:rsidR="00E7456D" w:rsidRPr="00C2247C">
        <w:rPr>
          <w:rFonts w:cs="Arial"/>
          <w:sz w:val="24"/>
        </w:rPr>
        <w:t>information will be available on staffnet.</w:t>
      </w:r>
      <w:r w:rsidRPr="00C2247C">
        <w:rPr>
          <w:rFonts w:cs="Arial"/>
          <w:sz w:val="24"/>
        </w:rPr>
        <w:t xml:space="preserve"> </w:t>
      </w:r>
    </w:p>
    <w:p w14:paraId="6BC81248" w14:textId="042E9A40" w:rsidR="00523912" w:rsidRDefault="00523912" w:rsidP="00F30C7D">
      <w:pPr>
        <w:ind w:firstLine="720"/>
        <w:rPr>
          <w:rFonts w:cs="Arial"/>
          <w:b/>
          <w:sz w:val="24"/>
        </w:rPr>
      </w:pPr>
    </w:p>
    <w:p w14:paraId="0AE04C50" w14:textId="59DC6257" w:rsidR="00EC4F68" w:rsidRDefault="00EC4F68" w:rsidP="00F30C7D">
      <w:pPr>
        <w:ind w:firstLine="720"/>
        <w:rPr>
          <w:rFonts w:cs="Arial"/>
          <w:b/>
          <w:sz w:val="24"/>
        </w:rPr>
      </w:pPr>
    </w:p>
    <w:p w14:paraId="76B5962B" w14:textId="77777777" w:rsidR="00EC4F68" w:rsidRDefault="00EC4F68" w:rsidP="00F30C7D">
      <w:pPr>
        <w:ind w:firstLine="720"/>
        <w:rPr>
          <w:rFonts w:cs="Arial"/>
          <w:b/>
          <w:sz w:val="24"/>
        </w:rPr>
      </w:pPr>
    </w:p>
    <w:p w14:paraId="3D5D67B4" w14:textId="77777777" w:rsidR="00523912" w:rsidRDefault="00523912" w:rsidP="00F30C7D">
      <w:pPr>
        <w:ind w:firstLine="720"/>
        <w:rPr>
          <w:rFonts w:cs="Arial"/>
          <w:b/>
          <w:sz w:val="24"/>
        </w:rPr>
      </w:pPr>
    </w:p>
    <w:p w14:paraId="5FC15DC6" w14:textId="77777777" w:rsidR="00523912" w:rsidRDefault="00523912" w:rsidP="00F30C7D">
      <w:pPr>
        <w:ind w:firstLine="720"/>
        <w:rPr>
          <w:rFonts w:cs="Arial"/>
          <w:b/>
          <w:sz w:val="24"/>
        </w:rPr>
      </w:pPr>
    </w:p>
    <w:p w14:paraId="17397B4A" w14:textId="43604845" w:rsidR="00D53B4C" w:rsidRPr="00C2247C" w:rsidRDefault="00D53B4C" w:rsidP="00F30C7D">
      <w:pPr>
        <w:ind w:firstLine="720"/>
        <w:rPr>
          <w:rFonts w:cs="Arial"/>
          <w:b/>
          <w:sz w:val="24"/>
        </w:rPr>
      </w:pPr>
      <w:r w:rsidRPr="00C2247C">
        <w:rPr>
          <w:rFonts w:cs="Arial"/>
          <w:b/>
          <w:sz w:val="24"/>
        </w:rPr>
        <w:lastRenderedPageBreak/>
        <w:t>First contacts</w:t>
      </w:r>
    </w:p>
    <w:p w14:paraId="133B8533" w14:textId="3CE03BFE" w:rsidR="00D53B4C" w:rsidRPr="00C2247C" w:rsidRDefault="00D53B4C" w:rsidP="00F30C7D">
      <w:pPr>
        <w:ind w:left="720"/>
        <w:rPr>
          <w:rFonts w:cs="Arial"/>
          <w:sz w:val="24"/>
          <w:highlight w:val="yellow"/>
        </w:rPr>
      </w:pPr>
      <w:r w:rsidRPr="00C2247C">
        <w:rPr>
          <w:rFonts w:cs="Arial"/>
          <w:sz w:val="24"/>
        </w:rPr>
        <w:t xml:space="preserve">When a service user dies, there is an expectation that contact will be made with bereaved families/carers of service users to offer condolences, </w:t>
      </w:r>
      <w:r w:rsidR="002B213B" w:rsidRPr="00C2247C">
        <w:rPr>
          <w:rFonts w:cs="Arial"/>
          <w:sz w:val="24"/>
        </w:rPr>
        <w:t>support,</w:t>
      </w:r>
      <w:r w:rsidRPr="00C2247C">
        <w:rPr>
          <w:rFonts w:cs="Arial"/>
          <w:sz w:val="24"/>
        </w:rPr>
        <w:t xml:space="preserve"> and opportunities to comment on the care the Trust provided.</w:t>
      </w:r>
    </w:p>
    <w:p w14:paraId="3F391CD5" w14:textId="6A67CBE1" w:rsidR="00D53B4C" w:rsidRPr="00C2247C" w:rsidRDefault="00D53B4C" w:rsidP="00F30C7D">
      <w:pPr>
        <w:ind w:left="720"/>
        <w:rPr>
          <w:rFonts w:cs="Arial"/>
          <w:color w:val="1F497D" w:themeColor="text2"/>
          <w:sz w:val="24"/>
        </w:rPr>
      </w:pPr>
      <w:r w:rsidRPr="00C2247C">
        <w:rPr>
          <w:rFonts w:cs="Arial"/>
          <w:sz w:val="24"/>
        </w:rPr>
        <w:t xml:space="preserve">The Trust may be informed of a death through various routes.  For </w:t>
      </w:r>
      <w:r w:rsidR="002B213B" w:rsidRPr="00C2247C">
        <w:rPr>
          <w:rFonts w:cs="Arial"/>
          <w:sz w:val="24"/>
        </w:rPr>
        <w:t>example,</w:t>
      </w:r>
      <w:r w:rsidRPr="00C2247C">
        <w:rPr>
          <w:rFonts w:cs="Arial"/>
          <w:sz w:val="24"/>
        </w:rPr>
        <w:t xml:space="preserve"> an admin member of staff may receive a call from a family member to inform us of the death or a clinician may be told of a death on a planned visit, or an update from the clinical records.  All staff should be familiar </w:t>
      </w:r>
      <w:r w:rsidR="00C3507F">
        <w:rPr>
          <w:rFonts w:cs="Arial"/>
          <w:sz w:val="24"/>
        </w:rPr>
        <w:t xml:space="preserve">with </w:t>
      </w:r>
      <w:r w:rsidR="00EC0B13" w:rsidRPr="00C2247C">
        <w:rPr>
          <w:rFonts w:cs="Arial"/>
          <w:sz w:val="24"/>
        </w:rPr>
        <w:t xml:space="preserve">the </w:t>
      </w:r>
      <w:r w:rsidR="00EC0B13" w:rsidRPr="00E644F5">
        <w:rPr>
          <w:rFonts w:cs="Arial"/>
          <w:sz w:val="24"/>
        </w:rPr>
        <w:t xml:space="preserve">Being Open Policy </w:t>
      </w:r>
      <w:r w:rsidR="00EC0B13">
        <w:rPr>
          <w:rFonts w:cs="Arial"/>
          <w:sz w:val="24"/>
        </w:rPr>
        <w:t xml:space="preserve">which sets out the requirements and actions required </w:t>
      </w:r>
      <w:r w:rsidRPr="00E644F5">
        <w:rPr>
          <w:rFonts w:cs="Arial"/>
          <w:sz w:val="24"/>
        </w:rPr>
        <w:t>includ</w:t>
      </w:r>
      <w:r w:rsidR="00EC0B13">
        <w:rPr>
          <w:rFonts w:cs="Arial"/>
          <w:sz w:val="24"/>
        </w:rPr>
        <w:t>ing if</w:t>
      </w:r>
      <w:r w:rsidRPr="00E644F5">
        <w:rPr>
          <w:rFonts w:cs="Arial"/>
          <w:sz w:val="24"/>
        </w:rPr>
        <w:t xml:space="preserve"> Duty of Candour</w:t>
      </w:r>
      <w:r w:rsidRPr="00C2247C">
        <w:rPr>
          <w:rFonts w:cs="Arial"/>
          <w:sz w:val="24"/>
        </w:rPr>
        <w:t xml:space="preserve"> </w:t>
      </w:r>
      <w:r w:rsidR="00EC0B13">
        <w:rPr>
          <w:rFonts w:cs="Arial"/>
          <w:sz w:val="24"/>
        </w:rPr>
        <w:t>applies</w:t>
      </w:r>
      <w:r w:rsidRPr="00C2247C">
        <w:rPr>
          <w:rFonts w:cs="Arial"/>
          <w:sz w:val="24"/>
        </w:rPr>
        <w:t xml:space="preserve">. </w:t>
      </w:r>
    </w:p>
    <w:p w14:paraId="527E32FA" w14:textId="77777777" w:rsidR="00D53B4C" w:rsidRPr="00C2247C" w:rsidRDefault="00D53B4C" w:rsidP="00F30C7D">
      <w:pPr>
        <w:pStyle w:val="Default"/>
        <w:ind w:left="720"/>
        <w:jc w:val="both"/>
        <w:rPr>
          <w:color w:val="auto"/>
        </w:rPr>
      </w:pPr>
      <w:r w:rsidRPr="00C2247C">
        <w:rPr>
          <w:color w:val="auto"/>
        </w:rPr>
        <w:t xml:space="preserve">During an initial contact with the family of a deceased service user, staff should ensure they: </w:t>
      </w:r>
    </w:p>
    <w:p w14:paraId="4E769449" w14:textId="77777777" w:rsidR="00D53B4C" w:rsidRPr="00C2247C" w:rsidRDefault="00D53B4C" w:rsidP="008168F1">
      <w:pPr>
        <w:pStyle w:val="Default"/>
        <w:numPr>
          <w:ilvl w:val="0"/>
          <w:numId w:val="14"/>
        </w:numPr>
        <w:jc w:val="both"/>
        <w:rPr>
          <w:color w:val="auto"/>
        </w:rPr>
      </w:pPr>
      <w:r w:rsidRPr="00C2247C">
        <w:rPr>
          <w:color w:val="auto"/>
        </w:rPr>
        <w:t>offer condolences</w:t>
      </w:r>
    </w:p>
    <w:p w14:paraId="36238AD6" w14:textId="77777777" w:rsidR="00D53B4C" w:rsidRPr="00C2247C" w:rsidRDefault="00D53B4C" w:rsidP="008168F1">
      <w:pPr>
        <w:pStyle w:val="Default"/>
        <w:numPr>
          <w:ilvl w:val="0"/>
          <w:numId w:val="14"/>
        </w:numPr>
        <w:jc w:val="both"/>
        <w:rPr>
          <w:color w:val="auto"/>
        </w:rPr>
      </w:pPr>
      <w:r w:rsidRPr="00C2247C">
        <w:rPr>
          <w:color w:val="auto"/>
        </w:rPr>
        <w:t>obtain a name and contact details for the family member</w:t>
      </w:r>
    </w:p>
    <w:p w14:paraId="0C92172D" w14:textId="77777777" w:rsidR="00D53B4C" w:rsidRPr="00C2247C" w:rsidRDefault="00D53B4C" w:rsidP="008168F1">
      <w:pPr>
        <w:pStyle w:val="Default"/>
        <w:numPr>
          <w:ilvl w:val="0"/>
          <w:numId w:val="14"/>
        </w:numPr>
        <w:jc w:val="both"/>
        <w:rPr>
          <w:color w:val="auto"/>
        </w:rPr>
      </w:pPr>
      <w:r w:rsidRPr="00C2247C">
        <w:rPr>
          <w:color w:val="auto"/>
        </w:rPr>
        <w:t>sensitively ask about the circumstances and cause of the death</w:t>
      </w:r>
    </w:p>
    <w:p w14:paraId="5B8FCE3F" w14:textId="77777777" w:rsidR="00D53B4C" w:rsidRPr="00C2247C" w:rsidRDefault="00D53B4C" w:rsidP="008168F1">
      <w:pPr>
        <w:pStyle w:val="Default"/>
        <w:numPr>
          <w:ilvl w:val="0"/>
          <w:numId w:val="14"/>
        </w:numPr>
        <w:jc w:val="both"/>
        <w:rPr>
          <w:color w:val="auto"/>
        </w:rPr>
      </w:pPr>
      <w:r w:rsidRPr="00C2247C">
        <w:rPr>
          <w:color w:val="auto"/>
        </w:rPr>
        <w:t>ask if they have any questions about the care their family member received from the Trust</w:t>
      </w:r>
    </w:p>
    <w:p w14:paraId="36E829DE" w14:textId="78EF6FFD" w:rsidR="00D53B4C" w:rsidRPr="00C2247C" w:rsidRDefault="00D53B4C" w:rsidP="008168F1">
      <w:pPr>
        <w:pStyle w:val="Default"/>
        <w:numPr>
          <w:ilvl w:val="0"/>
          <w:numId w:val="14"/>
        </w:numPr>
        <w:jc w:val="both"/>
        <w:rPr>
          <w:color w:val="auto"/>
        </w:rPr>
      </w:pPr>
      <w:r w:rsidRPr="00C2247C">
        <w:rPr>
          <w:color w:val="auto"/>
        </w:rPr>
        <w:t xml:space="preserve">offer support and signpost to sources of support, </w:t>
      </w:r>
      <w:r w:rsidR="002B213B" w:rsidRPr="00C2247C">
        <w:rPr>
          <w:color w:val="auto"/>
        </w:rPr>
        <w:t>e.g.,</w:t>
      </w:r>
      <w:r w:rsidRPr="00C2247C">
        <w:rPr>
          <w:color w:val="auto"/>
        </w:rPr>
        <w:t xml:space="preserve"> GP, third sector organisations etc.</w:t>
      </w:r>
    </w:p>
    <w:p w14:paraId="039B0178" w14:textId="77777777" w:rsidR="00D53B4C" w:rsidRPr="00C2247C" w:rsidRDefault="00D53B4C" w:rsidP="00D53B4C">
      <w:pPr>
        <w:pStyle w:val="Default"/>
        <w:jc w:val="both"/>
        <w:rPr>
          <w:color w:val="auto"/>
        </w:rPr>
      </w:pPr>
    </w:p>
    <w:p w14:paraId="1681CC39" w14:textId="35BE2C3B" w:rsidR="00D53B4C" w:rsidRPr="00C2247C" w:rsidRDefault="00D53B4C" w:rsidP="00F30C7D">
      <w:pPr>
        <w:ind w:left="720"/>
        <w:rPr>
          <w:rFonts w:cs="Arial"/>
          <w:sz w:val="24"/>
        </w:rPr>
      </w:pPr>
      <w:r w:rsidRPr="00C2247C">
        <w:rPr>
          <w:rFonts w:cs="Arial"/>
          <w:sz w:val="24"/>
        </w:rPr>
        <w:t>The Trust has developed information to support families following bereavement</w:t>
      </w:r>
      <w:r w:rsidR="00F30C7D">
        <w:rPr>
          <w:rFonts w:cs="Arial"/>
          <w:sz w:val="24"/>
        </w:rPr>
        <w:t xml:space="preserve"> and also provides a copy of the “Help is at Hand” Booklet. </w:t>
      </w:r>
    </w:p>
    <w:p w14:paraId="25309055" w14:textId="59A1733C" w:rsidR="00D53B4C" w:rsidRPr="00C2247C" w:rsidRDefault="00D53B4C" w:rsidP="00F30C7D">
      <w:pPr>
        <w:ind w:left="720"/>
        <w:rPr>
          <w:rFonts w:cs="Arial"/>
          <w:sz w:val="24"/>
        </w:rPr>
      </w:pPr>
      <w:r w:rsidRPr="00C2247C">
        <w:rPr>
          <w:rFonts w:cs="Arial"/>
          <w:sz w:val="24"/>
        </w:rPr>
        <w:t xml:space="preserve">There are some circumstances where the Trust may find out about the death of a service user after some delay. In these circumstances a discussion should take place between the </w:t>
      </w:r>
      <w:r w:rsidR="005A4488">
        <w:rPr>
          <w:rFonts w:cs="Arial"/>
          <w:sz w:val="24"/>
        </w:rPr>
        <w:t>Clinical Governance Team</w:t>
      </w:r>
      <w:r w:rsidR="00DD0A36" w:rsidRPr="00C2247C">
        <w:rPr>
          <w:rFonts w:cs="Arial"/>
          <w:sz w:val="24"/>
        </w:rPr>
        <w:t xml:space="preserve"> </w:t>
      </w:r>
      <w:r w:rsidRPr="00C2247C">
        <w:rPr>
          <w:rFonts w:cs="Arial"/>
          <w:sz w:val="24"/>
        </w:rPr>
        <w:t>and the clinical team involved to determine the best approach.</w:t>
      </w:r>
    </w:p>
    <w:p w14:paraId="531DC3A7" w14:textId="5437E645" w:rsidR="00D53B4C" w:rsidRPr="00C2247C" w:rsidRDefault="00D53B4C" w:rsidP="00F30C7D">
      <w:pPr>
        <w:ind w:firstLine="720"/>
        <w:rPr>
          <w:rFonts w:cs="Arial"/>
          <w:b/>
          <w:sz w:val="24"/>
        </w:rPr>
      </w:pPr>
      <w:r w:rsidRPr="00C2247C">
        <w:rPr>
          <w:rFonts w:cs="Arial"/>
          <w:b/>
          <w:sz w:val="24"/>
        </w:rPr>
        <w:t>Unable to contact</w:t>
      </w:r>
    </w:p>
    <w:p w14:paraId="37E7AF0A" w14:textId="016EB7E8" w:rsidR="00D53B4C" w:rsidRPr="00C2247C" w:rsidRDefault="00D53B4C" w:rsidP="00F30C7D">
      <w:pPr>
        <w:ind w:left="720"/>
        <w:rPr>
          <w:rFonts w:cs="Arial"/>
          <w:sz w:val="24"/>
        </w:rPr>
      </w:pPr>
      <w:r w:rsidRPr="00C2247C">
        <w:rPr>
          <w:rFonts w:cs="Arial"/>
          <w:sz w:val="24"/>
        </w:rPr>
        <w:t xml:space="preserve">There may be occasions where the Trust is not able to make contact with family or carers. Attempts to make contact should be recorded in the clinical record.  Where a service user does not have family or carers, or their details are not recorded on the clinical system </w:t>
      </w:r>
      <w:r w:rsidR="00C3507F">
        <w:rPr>
          <w:rFonts w:cs="Arial"/>
          <w:sz w:val="24"/>
        </w:rPr>
        <w:t>t</w:t>
      </w:r>
      <w:r w:rsidRPr="00C2247C">
        <w:rPr>
          <w:rFonts w:cs="Arial"/>
          <w:sz w:val="24"/>
        </w:rPr>
        <w:t xml:space="preserve">he reasons for no contact with family should be recorded in the clinical record.   </w:t>
      </w:r>
    </w:p>
    <w:p w14:paraId="1427DE4D" w14:textId="77777777" w:rsidR="00D53B4C" w:rsidRPr="00C2247C" w:rsidRDefault="00D53B4C" w:rsidP="00F30C7D">
      <w:pPr>
        <w:ind w:firstLine="720"/>
        <w:rPr>
          <w:rFonts w:cs="Arial"/>
          <w:b/>
          <w:sz w:val="24"/>
        </w:rPr>
      </w:pPr>
      <w:r w:rsidRPr="00C2247C">
        <w:rPr>
          <w:rFonts w:cs="Arial"/>
          <w:b/>
          <w:sz w:val="24"/>
        </w:rPr>
        <w:t>Ongoing contact</w:t>
      </w:r>
    </w:p>
    <w:p w14:paraId="5887FA3A" w14:textId="715FFC26" w:rsidR="00D53B4C" w:rsidRDefault="00D53B4C" w:rsidP="00F30C7D">
      <w:pPr>
        <w:ind w:left="720"/>
        <w:rPr>
          <w:rFonts w:cs="Arial"/>
          <w:sz w:val="24"/>
        </w:rPr>
      </w:pPr>
      <w:r w:rsidRPr="00A35984">
        <w:rPr>
          <w:rFonts w:cs="Arial"/>
          <w:sz w:val="24"/>
        </w:rPr>
        <w:t xml:space="preserve">Staff </w:t>
      </w:r>
      <w:r w:rsidR="00A35984" w:rsidRPr="00A35984">
        <w:rPr>
          <w:rFonts w:cs="Arial"/>
          <w:sz w:val="24"/>
        </w:rPr>
        <w:t xml:space="preserve">should </w:t>
      </w:r>
      <w:r w:rsidRPr="00A35984">
        <w:rPr>
          <w:rFonts w:cs="Arial"/>
          <w:sz w:val="24"/>
        </w:rPr>
        <w:t>offer the opportunity for on-going involvement in</w:t>
      </w:r>
      <w:r w:rsidR="00483499" w:rsidRPr="00A35984">
        <w:rPr>
          <w:rFonts w:cs="Arial"/>
          <w:sz w:val="24"/>
        </w:rPr>
        <w:t xml:space="preserve"> </w:t>
      </w:r>
      <w:r w:rsidRPr="00A35984">
        <w:rPr>
          <w:rFonts w:cs="Arial"/>
          <w:sz w:val="24"/>
        </w:rPr>
        <w:t xml:space="preserve">keeping with the family’s needs and wishes. </w:t>
      </w:r>
      <w:r w:rsidR="00A35984" w:rsidRPr="00A35984">
        <w:rPr>
          <w:rFonts w:cs="Arial"/>
          <w:sz w:val="24"/>
        </w:rPr>
        <w:t>Where an investigation or review has been agreed it should be agreed between the service</w:t>
      </w:r>
      <w:r w:rsidR="00A35984">
        <w:rPr>
          <w:rFonts w:cs="Arial"/>
          <w:sz w:val="24"/>
        </w:rPr>
        <w:t>, family/significant other</w:t>
      </w:r>
      <w:r w:rsidR="00A35984" w:rsidRPr="00A35984">
        <w:rPr>
          <w:rFonts w:cs="Arial"/>
          <w:sz w:val="24"/>
        </w:rPr>
        <w:t xml:space="preserve"> and lead reviewer/investigator who will </w:t>
      </w:r>
      <w:r w:rsidR="00A35984">
        <w:rPr>
          <w:rFonts w:cs="Arial"/>
          <w:sz w:val="24"/>
        </w:rPr>
        <w:t xml:space="preserve">be the lead contact for LYPFT.  </w:t>
      </w:r>
    </w:p>
    <w:p w14:paraId="0A592150" w14:textId="185FB5EF" w:rsidR="00EC4F68" w:rsidRDefault="00EC4F68" w:rsidP="00F30C7D">
      <w:pPr>
        <w:ind w:left="720"/>
        <w:rPr>
          <w:rFonts w:cs="Arial"/>
          <w:sz w:val="24"/>
        </w:rPr>
      </w:pPr>
    </w:p>
    <w:p w14:paraId="2AD34A52" w14:textId="06D703FC" w:rsidR="00EC4F68" w:rsidRDefault="00EC4F68" w:rsidP="00F30C7D">
      <w:pPr>
        <w:ind w:left="720"/>
        <w:rPr>
          <w:rFonts w:cs="Arial"/>
          <w:sz w:val="24"/>
        </w:rPr>
      </w:pPr>
    </w:p>
    <w:p w14:paraId="01C08602" w14:textId="77777777" w:rsidR="00EC4F68" w:rsidRDefault="00EC4F68" w:rsidP="00F30C7D">
      <w:pPr>
        <w:ind w:left="720"/>
        <w:rPr>
          <w:rFonts w:cs="Arial"/>
          <w:sz w:val="24"/>
        </w:rPr>
      </w:pPr>
    </w:p>
    <w:p w14:paraId="10DCC7EE" w14:textId="77777777" w:rsidR="00D53B4C" w:rsidRPr="00C2247C" w:rsidRDefault="00D53B4C" w:rsidP="00F30C7D">
      <w:pPr>
        <w:ind w:firstLine="720"/>
        <w:rPr>
          <w:rFonts w:cs="Arial"/>
          <w:b/>
          <w:sz w:val="24"/>
        </w:rPr>
      </w:pPr>
      <w:r w:rsidRPr="00C2247C">
        <w:rPr>
          <w:rFonts w:cs="Arial"/>
          <w:b/>
          <w:sz w:val="24"/>
        </w:rPr>
        <w:lastRenderedPageBreak/>
        <w:t>Involvement in reviews and investigations</w:t>
      </w:r>
    </w:p>
    <w:p w14:paraId="00EEC291" w14:textId="0594869B" w:rsidR="00D53B4C" w:rsidRPr="00C2247C" w:rsidRDefault="00D53B4C" w:rsidP="00F30C7D">
      <w:pPr>
        <w:ind w:left="720"/>
        <w:rPr>
          <w:rFonts w:cs="Arial"/>
          <w:sz w:val="24"/>
        </w:rPr>
      </w:pPr>
      <w:r w:rsidRPr="00C2247C">
        <w:rPr>
          <w:rFonts w:cs="Arial"/>
          <w:sz w:val="24"/>
        </w:rPr>
        <w:t xml:space="preserve">The Trust’s approach </w:t>
      </w:r>
      <w:r w:rsidR="005A4488">
        <w:rPr>
          <w:rFonts w:cs="Arial"/>
          <w:sz w:val="24"/>
        </w:rPr>
        <w:t>is to seek</w:t>
      </w:r>
      <w:r w:rsidRPr="00C2247C">
        <w:rPr>
          <w:rFonts w:cs="Arial"/>
          <w:sz w:val="24"/>
        </w:rPr>
        <w:t xml:space="preserve"> </w:t>
      </w:r>
      <w:r w:rsidR="005A4488">
        <w:rPr>
          <w:rFonts w:cs="Arial"/>
          <w:sz w:val="24"/>
        </w:rPr>
        <w:t>early engagement with the</w:t>
      </w:r>
      <w:r w:rsidRPr="00C2247C">
        <w:rPr>
          <w:rFonts w:cs="Arial"/>
          <w:sz w:val="24"/>
        </w:rPr>
        <w:t xml:space="preserve"> family</w:t>
      </w:r>
      <w:r w:rsidR="005A4488">
        <w:rPr>
          <w:rFonts w:cs="Arial"/>
          <w:sz w:val="24"/>
        </w:rPr>
        <w:t xml:space="preserve"> and/or </w:t>
      </w:r>
      <w:r w:rsidRPr="00C2247C">
        <w:rPr>
          <w:rFonts w:cs="Arial"/>
          <w:sz w:val="24"/>
        </w:rPr>
        <w:t xml:space="preserve">carer </w:t>
      </w:r>
      <w:r w:rsidR="005A4488" w:rsidRPr="00C2247C">
        <w:rPr>
          <w:rFonts w:cs="Arial"/>
          <w:sz w:val="24"/>
        </w:rPr>
        <w:t xml:space="preserve">taking their views and opinions into account </w:t>
      </w:r>
      <w:r w:rsidR="005A4488">
        <w:rPr>
          <w:rFonts w:cs="Arial"/>
          <w:sz w:val="24"/>
        </w:rPr>
        <w:t>to ensure they can, if they wish, be involved within the</w:t>
      </w:r>
      <w:r w:rsidRPr="00C2247C">
        <w:rPr>
          <w:rFonts w:cs="Arial"/>
          <w:sz w:val="24"/>
        </w:rPr>
        <w:t xml:space="preserve"> review/investigation process. </w:t>
      </w:r>
    </w:p>
    <w:p w14:paraId="5885829E" w14:textId="4E224901" w:rsidR="005A4488" w:rsidRPr="00C2247C" w:rsidRDefault="005A4488" w:rsidP="005A4488">
      <w:pPr>
        <w:ind w:left="720"/>
        <w:rPr>
          <w:rFonts w:cs="Arial"/>
          <w:sz w:val="24"/>
        </w:rPr>
      </w:pPr>
      <w:r w:rsidRPr="00C2247C">
        <w:rPr>
          <w:rFonts w:cs="Arial"/>
          <w:sz w:val="24"/>
        </w:rPr>
        <w:t xml:space="preserve">We will write to the family to inform them that a review or investigation is being undertaken. We will </w:t>
      </w:r>
      <w:r>
        <w:rPr>
          <w:rFonts w:cs="Arial"/>
          <w:sz w:val="24"/>
        </w:rPr>
        <w:t xml:space="preserve">also </w:t>
      </w:r>
      <w:r w:rsidRPr="00C2247C">
        <w:rPr>
          <w:rFonts w:cs="Arial"/>
          <w:sz w:val="24"/>
        </w:rPr>
        <w:t xml:space="preserve">provide further information in the form of a booklet that explains the review/investigation </w:t>
      </w:r>
      <w:r>
        <w:rPr>
          <w:rFonts w:cs="Arial"/>
          <w:sz w:val="24"/>
        </w:rPr>
        <w:t>process and how they can be</w:t>
      </w:r>
      <w:r w:rsidRPr="00C2247C">
        <w:rPr>
          <w:rFonts w:cs="Arial"/>
          <w:sz w:val="24"/>
        </w:rPr>
        <w:t xml:space="preserve"> involved in the review.  </w:t>
      </w:r>
      <w:r w:rsidRPr="00825962">
        <w:rPr>
          <w:rFonts w:cs="Arial"/>
          <w:sz w:val="24"/>
        </w:rPr>
        <w:t>The flowchart in Appendix A sets out the different review processes that may be used following a death.</w:t>
      </w:r>
      <w:r w:rsidRPr="00C2247C">
        <w:rPr>
          <w:rFonts w:cs="Arial"/>
          <w:sz w:val="24"/>
        </w:rPr>
        <w:t xml:space="preserve">  </w:t>
      </w:r>
    </w:p>
    <w:p w14:paraId="0E4B2B69" w14:textId="660E122E" w:rsidR="00D53B4C" w:rsidRPr="00C2247C" w:rsidRDefault="00D53B4C" w:rsidP="00F30C7D">
      <w:pPr>
        <w:ind w:firstLine="720"/>
        <w:rPr>
          <w:rFonts w:cs="Arial"/>
          <w:b/>
          <w:sz w:val="24"/>
        </w:rPr>
      </w:pPr>
      <w:r w:rsidRPr="00C2247C">
        <w:rPr>
          <w:rFonts w:cs="Arial"/>
          <w:b/>
          <w:sz w:val="24"/>
        </w:rPr>
        <w:t>Contact declined</w:t>
      </w:r>
    </w:p>
    <w:p w14:paraId="74CD0613" w14:textId="185E5F71" w:rsidR="00D53B4C" w:rsidRPr="00C2247C" w:rsidRDefault="00D53B4C" w:rsidP="00F30C7D">
      <w:pPr>
        <w:ind w:left="720"/>
        <w:rPr>
          <w:rFonts w:cs="Arial"/>
          <w:sz w:val="24"/>
        </w:rPr>
      </w:pPr>
      <w:r w:rsidRPr="00C2247C">
        <w:rPr>
          <w:rFonts w:cs="Arial"/>
          <w:sz w:val="24"/>
        </w:rPr>
        <w:t xml:space="preserve">If </w:t>
      </w:r>
      <w:r w:rsidR="004D64E2">
        <w:rPr>
          <w:rFonts w:cs="Arial"/>
          <w:sz w:val="24"/>
        </w:rPr>
        <w:t xml:space="preserve">the </w:t>
      </w:r>
      <w:r w:rsidRPr="00C2247C">
        <w:rPr>
          <w:rFonts w:cs="Arial"/>
          <w:sz w:val="24"/>
        </w:rPr>
        <w:t>family</w:t>
      </w:r>
      <w:r w:rsidR="00DC63B5">
        <w:rPr>
          <w:rFonts w:cs="Arial"/>
          <w:sz w:val="24"/>
        </w:rPr>
        <w:t xml:space="preserve"> </w:t>
      </w:r>
      <w:r w:rsidR="004D64E2">
        <w:rPr>
          <w:rFonts w:cs="Arial"/>
          <w:sz w:val="24"/>
        </w:rPr>
        <w:t xml:space="preserve">or </w:t>
      </w:r>
      <w:r w:rsidRPr="00C2247C">
        <w:rPr>
          <w:rFonts w:cs="Arial"/>
          <w:sz w:val="24"/>
        </w:rPr>
        <w:t xml:space="preserve">carer </w:t>
      </w:r>
      <w:r w:rsidR="004D64E2">
        <w:rPr>
          <w:rFonts w:cs="Arial"/>
          <w:sz w:val="24"/>
        </w:rPr>
        <w:t xml:space="preserve">initially </w:t>
      </w:r>
      <w:r w:rsidRPr="00C2247C">
        <w:rPr>
          <w:rFonts w:cs="Arial"/>
          <w:sz w:val="24"/>
        </w:rPr>
        <w:t>decides</w:t>
      </w:r>
      <w:r w:rsidR="004D64E2">
        <w:rPr>
          <w:rFonts w:cs="Arial"/>
          <w:sz w:val="24"/>
        </w:rPr>
        <w:t xml:space="preserve"> not to be</w:t>
      </w:r>
      <w:r w:rsidRPr="00C2247C">
        <w:rPr>
          <w:rFonts w:cs="Arial"/>
          <w:sz w:val="24"/>
        </w:rPr>
        <w:t xml:space="preserve"> involved in the review/investigation process, staff should make it clear they can </w:t>
      </w:r>
      <w:r w:rsidR="004D64E2" w:rsidRPr="00C2247C">
        <w:rPr>
          <w:rFonts w:cs="Arial"/>
          <w:sz w:val="24"/>
        </w:rPr>
        <w:t>change their decision</w:t>
      </w:r>
      <w:r w:rsidR="004D64E2">
        <w:rPr>
          <w:rFonts w:cs="Arial"/>
          <w:sz w:val="24"/>
        </w:rPr>
        <w:t xml:space="preserve"> at a later time. </w:t>
      </w:r>
      <w:r w:rsidRPr="00C2247C">
        <w:rPr>
          <w:rFonts w:cs="Arial"/>
          <w:sz w:val="24"/>
        </w:rPr>
        <w:t xml:space="preserve">If the family does not want contact at all about the process or findings, this should be </w:t>
      </w:r>
      <w:r w:rsidR="002B213B" w:rsidRPr="00C2247C">
        <w:rPr>
          <w:rFonts w:cs="Arial"/>
          <w:sz w:val="24"/>
        </w:rPr>
        <w:t>honoured,</w:t>
      </w:r>
      <w:r w:rsidRPr="00C2247C">
        <w:rPr>
          <w:rFonts w:cs="Arial"/>
          <w:sz w:val="24"/>
        </w:rPr>
        <w:t xml:space="preserve"> and staff should record their wishes.</w:t>
      </w:r>
    </w:p>
    <w:p w14:paraId="56E6432D" w14:textId="77777777" w:rsidR="00D53B4C" w:rsidRPr="00C2247C" w:rsidRDefault="00D53B4C" w:rsidP="00F30C7D">
      <w:pPr>
        <w:ind w:firstLine="720"/>
        <w:rPr>
          <w:rFonts w:cs="Arial"/>
          <w:b/>
          <w:sz w:val="24"/>
        </w:rPr>
      </w:pPr>
      <w:r w:rsidRPr="00C2247C">
        <w:rPr>
          <w:rFonts w:cs="Arial"/>
          <w:b/>
          <w:sz w:val="24"/>
        </w:rPr>
        <w:t xml:space="preserve">Unknown cause of death </w:t>
      </w:r>
    </w:p>
    <w:p w14:paraId="5AAC05AA" w14:textId="10B02FF8" w:rsidR="00D53B4C" w:rsidRPr="00C2247C" w:rsidRDefault="00D53B4C" w:rsidP="00F30C7D">
      <w:pPr>
        <w:ind w:left="720"/>
        <w:rPr>
          <w:rFonts w:cs="Arial"/>
          <w:sz w:val="24"/>
        </w:rPr>
      </w:pPr>
      <w:r w:rsidRPr="00C2247C">
        <w:rPr>
          <w:rFonts w:cs="Arial"/>
          <w:sz w:val="24"/>
        </w:rPr>
        <w:t xml:space="preserve">In some </w:t>
      </w:r>
      <w:r w:rsidR="002B213B" w:rsidRPr="00C2247C">
        <w:rPr>
          <w:rFonts w:cs="Arial"/>
          <w:sz w:val="24"/>
        </w:rPr>
        <w:t>cases,</w:t>
      </w:r>
      <w:r w:rsidRPr="00C2247C">
        <w:rPr>
          <w:rFonts w:cs="Arial"/>
          <w:sz w:val="24"/>
        </w:rPr>
        <w:t xml:space="preserve"> the cause of death may not be known when a death is reported. Where information on the cause of death and circumstances</w:t>
      </w:r>
      <w:r w:rsidR="004D64E2">
        <w:rPr>
          <w:rFonts w:cs="Arial"/>
          <w:sz w:val="24"/>
        </w:rPr>
        <w:t xml:space="preserve"> is unknown to</w:t>
      </w:r>
      <w:r w:rsidRPr="00C2247C">
        <w:rPr>
          <w:rFonts w:cs="Arial"/>
          <w:sz w:val="24"/>
        </w:rPr>
        <w:t xml:space="preserve"> family or carers, teams should </w:t>
      </w:r>
      <w:r w:rsidR="004D64E2">
        <w:rPr>
          <w:rFonts w:cs="Arial"/>
          <w:sz w:val="24"/>
        </w:rPr>
        <w:t>seek</w:t>
      </w:r>
      <w:r w:rsidR="004D64E2" w:rsidRPr="00C2247C">
        <w:rPr>
          <w:rFonts w:cs="Arial"/>
          <w:sz w:val="24"/>
        </w:rPr>
        <w:t xml:space="preserve"> </w:t>
      </w:r>
      <w:r w:rsidR="00DC63B5">
        <w:rPr>
          <w:rFonts w:cs="Arial"/>
          <w:sz w:val="24"/>
        </w:rPr>
        <w:t xml:space="preserve">information relating to the </w:t>
      </w:r>
      <w:r w:rsidR="00483499">
        <w:rPr>
          <w:rFonts w:cs="Arial"/>
          <w:sz w:val="24"/>
        </w:rPr>
        <w:t xml:space="preserve">death </w:t>
      </w:r>
      <w:r w:rsidR="00483499" w:rsidRPr="00C2247C">
        <w:rPr>
          <w:rFonts w:cs="Arial"/>
          <w:sz w:val="24"/>
        </w:rPr>
        <w:t>through</w:t>
      </w:r>
      <w:r w:rsidRPr="00C2247C">
        <w:rPr>
          <w:rFonts w:cs="Arial"/>
          <w:sz w:val="24"/>
        </w:rPr>
        <w:t xml:space="preserve"> other routes.  The service user’s GP, care home or last care provider (</w:t>
      </w:r>
      <w:r w:rsidR="002B213B" w:rsidRPr="00C2247C">
        <w:rPr>
          <w:rFonts w:cs="Arial"/>
          <w:sz w:val="24"/>
        </w:rPr>
        <w:t>e.g.,</w:t>
      </w:r>
      <w:r w:rsidRPr="00C2247C">
        <w:rPr>
          <w:rFonts w:cs="Arial"/>
          <w:sz w:val="24"/>
        </w:rPr>
        <w:t xml:space="preserve"> acute hospital) may be able to provide information.  </w:t>
      </w:r>
      <w:r w:rsidR="004D64E2">
        <w:rPr>
          <w:rFonts w:cs="Arial"/>
          <w:sz w:val="24"/>
        </w:rPr>
        <w:t>As</w:t>
      </w:r>
      <w:r w:rsidR="004D64E2" w:rsidRPr="00C2247C">
        <w:rPr>
          <w:rFonts w:cs="Arial"/>
          <w:sz w:val="24"/>
        </w:rPr>
        <w:t xml:space="preserve"> </w:t>
      </w:r>
      <w:r w:rsidRPr="00C2247C">
        <w:rPr>
          <w:rFonts w:cs="Arial"/>
          <w:sz w:val="24"/>
        </w:rPr>
        <w:t>information is identified</w:t>
      </w:r>
      <w:r w:rsidR="004D64E2">
        <w:rPr>
          <w:rFonts w:cs="Arial"/>
          <w:sz w:val="24"/>
        </w:rPr>
        <w:t xml:space="preserve"> </w:t>
      </w:r>
      <w:r w:rsidRPr="00C2247C">
        <w:rPr>
          <w:rFonts w:cs="Arial"/>
          <w:sz w:val="24"/>
        </w:rPr>
        <w:t>the clinical record</w:t>
      </w:r>
      <w:r w:rsidR="004D64E2">
        <w:rPr>
          <w:rFonts w:cs="Arial"/>
          <w:sz w:val="24"/>
        </w:rPr>
        <w:t>s</w:t>
      </w:r>
      <w:r w:rsidRPr="00C2247C">
        <w:rPr>
          <w:rFonts w:cs="Arial"/>
          <w:sz w:val="24"/>
        </w:rPr>
        <w:t xml:space="preserve"> and</w:t>
      </w:r>
      <w:r w:rsidR="004D64E2">
        <w:rPr>
          <w:rFonts w:cs="Arial"/>
          <w:sz w:val="24"/>
        </w:rPr>
        <w:t xml:space="preserve"> </w:t>
      </w:r>
      <w:r w:rsidRPr="00C2247C">
        <w:rPr>
          <w:rFonts w:cs="Arial"/>
          <w:sz w:val="24"/>
        </w:rPr>
        <w:t>Datix</w:t>
      </w:r>
      <w:r w:rsidR="004D64E2">
        <w:rPr>
          <w:rFonts w:cs="Arial"/>
          <w:sz w:val="24"/>
        </w:rPr>
        <w:t>,</w:t>
      </w:r>
      <w:r w:rsidR="004D64E2" w:rsidRPr="004D64E2">
        <w:rPr>
          <w:rFonts w:cs="Arial"/>
          <w:sz w:val="24"/>
        </w:rPr>
        <w:t xml:space="preserve"> </w:t>
      </w:r>
      <w:r w:rsidR="004D64E2">
        <w:rPr>
          <w:rFonts w:cs="Arial"/>
          <w:sz w:val="24"/>
        </w:rPr>
        <w:t xml:space="preserve">if </w:t>
      </w:r>
      <w:r w:rsidR="004D64E2" w:rsidRPr="00C2247C">
        <w:rPr>
          <w:rFonts w:cs="Arial"/>
          <w:sz w:val="24"/>
        </w:rPr>
        <w:t>re</w:t>
      </w:r>
      <w:r w:rsidR="004D64E2">
        <w:rPr>
          <w:rFonts w:cs="Arial"/>
          <w:sz w:val="24"/>
        </w:rPr>
        <w:t xml:space="preserve">corded, should be </w:t>
      </w:r>
      <w:r w:rsidRPr="00C2247C">
        <w:rPr>
          <w:rFonts w:cs="Arial"/>
          <w:sz w:val="24"/>
        </w:rPr>
        <w:t>updated</w:t>
      </w:r>
      <w:r w:rsidR="004D64E2">
        <w:rPr>
          <w:rFonts w:cs="Arial"/>
          <w:sz w:val="24"/>
        </w:rPr>
        <w:t xml:space="preserve"> with the required information. </w:t>
      </w:r>
    </w:p>
    <w:p w14:paraId="15BDE0C3" w14:textId="05C49713" w:rsidR="00D53B4C" w:rsidRPr="00C2247C" w:rsidRDefault="00D53B4C" w:rsidP="00F30C7D">
      <w:pPr>
        <w:ind w:left="720"/>
        <w:rPr>
          <w:rFonts w:cs="Arial"/>
          <w:sz w:val="24"/>
        </w:rPr>
      </w:pPr>
      <w:r w:rsidRPr="00C2247C">
        <w:rPr>
          <w:rFonts w:cs="Arial"/>
          <w:sz w:val="24"/>
        </w:rPr>
        <w:t xml:space="preserve">In addition to this, the Patient Safety </w:t>
      </w:r>
      <w:r w:rsidR="00DD0A36" w:rsidRPr="00C2247C">
        <w:rPr>
          <w:rFonts w:cs="Arial"/>
          <w:sz w:val="24"/>
        </w:rPr>
        <w:t xml:space="preserve">Managers </w:t>
      </w:r>
      <w:r w:rsidRPr="00C2247C">
        <w:rPr>
          <w:rFonts w:cs="Arial"/>
          <w:sz w:val="24"/>
        </w:rPr>
        <w:t>will try to obtain cause of death/inquest conclusions from H M Coroner’s office.</w:t>
      </w:r>
    </w:p>
    <w:p w14:paraId="010CBE1B" w14:textId="5387477F" w:rsidR="001A68E4" w:rsidRPr="00C2247C" w:rsidRDefault="00A124E7" w:rsidP="001A68E4">
      <w:pPr>
        <w:rPr>
          <w:rFonts w:cs="Arial"/>
          <w:b/>
          <w:sz w:val="24"/>
        </w:rPr>
      </w:pPr>
      <w:r w:rsidRPr="00C2247C">
        <w:rPr>
          <w:rFonts w:cs="Arial"/>
          <w:b/>
          <w:sz w:val="24"/>
        </w:rPr>
        <w:t>1.</w:t>
      </w:r>
      <w:r w:rsidR="007628B0" w:rsidRPr="00C2247C">
        <w:rPr>
          <w:rFonts w:cs="Arial"/>
          <w:b/>
          <w:sz w:val="24"/>
        </w:rPr>
        <w:t>7</w:t>
      </w:r>
      <w:r w:rsidRPr="00C2247C">
        <w:rPr>
          <w:rFonts w:cs="Arial"/>
          <w:b/>
          <w:sz w:val="24"/>
        </w:rPr>
        <w:t>.3</w:t>
      </w:r>
      <w:r w:rsidRPr="00C2247C">
        <w:rPr>
          <w:rFonts w:cs="Arial"/>
          <w:b/>
          <w:sz w:val="24"/>
        </w:rPr>
        <w:tab/>
      </w:r>
      <w:r w:rsidR="00DD0A36" w:rsidRPr="00C2247C">
        <w:rPr>
          <w:rFonts w:cs="Arial"/>
          <w:b/>
          <w:sz w:val="24"/>
        </w:rPr>
        <w:t xml:space="preserve">Scope of reportable </w:t>
      </w:r>
      <w:r w:rsidRPr="00C2247C">
        <w:rPr>
          <w:rFonts w:cs="Arial"/>
          <w:b/>
          <w:sz w:val="24"/>
        </w:rPr>
        <w:t>deaths</w:t>
      </w:r>
    </w:p>
    <w:p w14:paraId="010CBE1C" w14:textId="32F643F5" w:rsidR="00F7351D" w:rsidRPr="00C2247C" w:rsidRDefault="00F7351D" w:rsidP="00F7351D">
      <w:pPr>
        <w:ind w:left="720"/>
        <w:rPr>
          <w:rFonts w:cs="Arial"/>
          <w:sz w:val="24"/>
        </w:rPr>
      </w:pPr>
      <w:r w:rsidRPr="00C2247C">
        <w:rPr>
          <w:rFonts w:cs="Arial"/>
          <w:sz w:val="24"/>
        </w:rPr>
        <w:t xml:space="preserve">The Trust has systems that identify and capture the known deaths of its service users on its electronic patient administration system (PAS) and where appropriate on its risk management systems. This is to help ensure that the Trust Board has a comprehensive picture of the deaths of all its services users and the opportunities to learn from them. </w:t>
      </w:r>
      <w:r w:rsidR="006C4B28" w:rsidRPr="00C2247C">
        <w:rPr>
          <w:rFonts w:cs="Arial"/>
          <w:sz w:val="24"/>
        </w:rPr>
        <w:t xml:space="preserve">In </w:t>
      </w:r>
      <w:r w:rsidR="002B213B" w:rsidRPr="00C2247C">
        <w:rPr>
          <w:rFonts w:cs="Arial"/>
          <w:sz w:val="24"/>
        </w:rPr>
        <w:t>addition,</w:t>
      </w:r>
      <w:r w:rsidR="006C4B28" w:rsidRPr="00C2247C">
        <w:rPr>
          <w:rFonts w:cs="Arial"/>
          <w:sz w:val="24"/>
        </w:rPr>
        <w:t xml:space="preserve"> a weekly review of all deaths recorded via the NHS Spine, to identify any patients in receipt of LYPFT care in the 6 months prior to their death. </w:t>
      </w:r>
    </w:p>
    <w:p w14:paraId="6F1FCB0D" w14:textId="77777777" w:rsidR="00C2247C" w:rsidRPr="00C2247C" w:rsidRDefault="00C2247C" w:rsidP="00C2247C">
      <w:pPr>
        <w:ind w:left="720"/>
        <w:rPr>
          <w:rFonts w:cs="Arial"/>
          <w:sz w:val="24"/>
        </w:rPr>
      </w:pPr>
      <w:r w:rsidRPr="00C2247C">
        <w:rPr>
          <w:rFonts w:cs="Arial"/>
          <w:sz w:val="24"/>
        </w:rPr>
        <w:t xml:space="preserve">The Trust will be informed of a service user’s death in a variety of ways. This could be by contacting to arrange an appointment or attending a planned visit, family contacting staff to inform them of the death, coroner’s requests, other care providers, through the clinical information system. </w:t>
      </w:r>
    </w:p>
    <w:p w14:paraId="1AB9986E" w14:textId="32EE4542" w:rsidR="007628B0" w:rsidRPr="00C2247C" w:rsidRDefault="00F7351D" w:rsidP="007628B0">
      <w:pPr>
        <w:ind w:left="720"/>
        <w:rPr>
          <w:rFonts w:cs="Arial"/>
          <w:sz w:val="24"/>
        </w:rPr>
      </w:pPr>
      <w:r w:rsidRPr="00C2247C">
        <w:rPr>
          <w:rFonts w:cs="Arial"/>
          <w:sz w:val="24"/>
        </w:rPr>
        <w:t xml:space="preserve">Trust staff must report deaths that they are made aware of on Datix within 24 hours of being informed and provide the cause of death where known.   </w:t>
      </w:r>
      <w:r w:rsidR="007628B0" w:rsidRPr="00C2247C">
        <w:rPr>
          <w:rFonts w:cs="Arial"/>
          <w:sz w:val="24"/>
        </w:rPr>
        <w:t xml:space="preserve">Where deaths are identified through enquiries from the coroner, teams should report the death on Datix. </w:t>
      </w:r>
      <w:r w:rsidR="00C2247C" w:rsidRPr="00C2247C">
        <w:rPr>
          <w:rFonts w:cs="Arial"/>
          <w:sz w:val="24"/>
        </w:rPr>
        <w:t xml:space="preserve">There is one exception to this; Liaison Psychiatry should </w:t>
      </w:r>
      <w:r w:rsidR="00C2247C" w:rsidRPr="00C2247C">
        <w:rPr>
          <w:rFonts w:cs="Arial"/>
          <w:sz w:val="24"/>
        </w:rPr>
        <w:lastRenderedPageBreak/>
        <w:t>not report expected deaths that occur for inpatients at Leeds Teaching Hospitals on the Trust</w:t>
      </w:r>
      <w:r w:rsidR="00E802D9">
        <w:rPr>
          <w:rFonts w:cs="Arial"/>
          <w:sz w:val="24"/>
        </w:rPr>
        <w:t>’</w:t>
      </w:r>
      <w:r w:rsidR="00C2247C" w:rsidRPr="00C2247C">
        <w:rPr>
          <w:rFonts w:cs="Arial"/>
          <w:sz w:val="24"/>
        </w:rPr>
        <w:t xml:space="preserve">s DATIX system unless there is a specific concern in relation to mental health.  These deaths are reported on the LTHT reporting system. </w:t>
      </w:r>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C2247C" w:rsidRPr="00C2247C" w14:paraId="016F193A" w14:textId="77777777" w:rsidTr="00C2247C">
        <w:tc>
          <w:tcPr>
            <w:tcW w:w="816" w:type="dxa"/>
            <w:shd w:val="clear" w:color="auto" w:fill="FFFFCC"/>
          </w:tcPr>
          <w:p w14:paraId="706A2AE6" w14:textId="77777777" w:rsidR="00C2247C" w:rsidRPr="00C2247C" w:rsidRDefault="00C2247C" w:rsidP="00C2247C">
            <w:pPr>
              <w:rPr>
                <w:rFonts w:cs="Arial"/>
                <w:sz w:val="24"/>
              </w:rPr>
            </w:pPr>
            <w:r w:rsidRPr="00C2247C">
              <w:rPr>
                <w:rFonts w:cs="Arial"/>
                <w:noProof/>
                <w:sz w:val="24"/>
              </w:rPr>
              <w:drawing>
                <wp:anchor distT="0" distB="0" distL="114300" distR="114300" simplePos="0" relativeHeight="251665408" behindDoc="0" locked="0" layoutInCell="1" allowOverlap="1" wp14:anchorId="1E278011" wp14:editId="6C68D647">
                  <wp:simplePos x="0" y="0"/>
                  <wp:positionH relativeFrom="column">
                    <wp:posOffset>-9525</wp:posOffset>
                  </wp:positionH>
                  <wp:positionV relativeFrom="paragraph">
                    <wp:posOffset>5080</wp:posOffset>
                  </wp:positionV>
                  <wp:extent cx="372110" cy="350520"/>
                  <wp:effectExtent l="0" t="0" r="8890" b="0"/>
                  <wp:wrapSquare wrapText="bothSides"/>
                  <wp:docPr id="15" name="Picture 15"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0" w:type="dxa"/>
            <w:shd w:val="clear" w:color="auto" w:fill="FFFFCC"/>
          </w:tcPr>
          <w:p w14:paraId="33FCB9C2" w14:textId="77777777" w:rsidR="00C2247C" w:rsidRPr="00C2247C" w:rsidRDefault="00C2247C" w:rsidP="00C2247C">
            <w:pPr>
              <w:pStyle w:val="Default"/>
              <w:rPr>
                <w:b/>
              </w:rPr>
            </w:pPr>
            <w:r w:rsidRPr="00C2247C">
              <w:rPr>
                <w:b/>
              </w:rPr>
              <w:t xml:space="preserve">All deaths that staff are made aware of must be reported through the Datix system to start the process of learning from patient deaths.   </w:t>
            </w:r>
          </w:p>
        </w:tc>
      </w:tr>
    </w:tbl>
    <w:p w14:paraId="010CBE22" w14:textId="06657604" w:rsidR="00F7351D" w:rsidRDefault="00F7351D" w:rsidP="00F7351D">
      <w:pPr>
        <w:ind w:left="720"/>
        <w:rPr>
          <w:rFonts w:cs="Arial"/>
          <w:sz w:val="24"/>
        </w:rPr>
      </w:pPr>
      <w:r w:rsidRPr="00C2247C">
        <w:rPr>
          <w:rFonts w:cs="Arial"/>
          <w:sz w:val="24"/>
        </w:rPr>
        <w:t xml:space="preserve">All Datix reports for deaths are reviewed by the </w:t>
      </w:r>
      <w:r w:rsidR="00DD0A36" w:rsidRPr="00C2247C">
        <w:rPr>
          <w:rFonts w:cs="Arial"/>
          <w:sz w:val="24"/>
        </w:rPr>
        <w:t xml:space="preserve">Patient Safety Team </w:t>
      </w:r>
      <w:r w:rsidRPr="00C2247C">
        <w:rPr>
          <w:rFonts w:cs="Arial"/>
          <w:sz w:val="24"/>
        </w:rPr>
        <w:t xml:space="preserve">on a </w:t>
      </w:r>
      <w:r w:rsidR="00DD0A36" w:rsidRPr="00C2247C">
        <w:rPr>
          <w:rFonts w:cs="Arial"/>
          <w:sz w:val="24"/>
        </w:rPr>
        <w:t>weekly</w:t>
      </w:r>
      <w:r w:rsidRPr="00C2247C">
        <w:rPr>
          <w:rFonts w:cs="Arial"/>
          <w:sz w:val="24"/>
        </w:rPr>
        <w:t xml:space="preserve"> basis and any unnatural unexpected deaths are </w:t>
      </w:r>
      <w:r w:rsidR="00E802D9" w:rsidRPr="00C2247C">
        <w:rPr>
          <w:rFonts w:cs="Arial"/>
          <w:sz w:val="24"/>
        </w:rPr>
        <w:t>considered through</w:t>
      </w:r>
      <w:r w:rsidRPr="00C2247C">
        <w:rPr>
          <w:rFonts w:cs="Arial"/>
          <w:sz w:val="24"/>
        </w:rPr>
        <w:t xml:space="preserve"> the Serious Incident process.  A summary of all other reported </w:t>
      </w:r>
      <w:r w:rsidR="00E802D9" w:rsidRPr="00C2247C">
        <w:rPr>
          <w:rFonts w:cs="Arial"/>
          <w:sz w:val="24"/>
        </w:rPr>
        <w:t>deaths is</w:t>
      </w:r>
      <w:r w:rsidRPr="00C2247C">
        <w:rPr>
          <w:rFonts w:cs="Arial"/>
          <w:sz w:val="24"/>
        </w:rPr>
        <w:t xml:space="preserve"> taken to the </w:t>
      </w:r>
      <w:r w:rsidR="00475049" w:rsidRPr="00C2247C">
        <w:rPr>
          <w:rFonts w:cs="Arial"/>
          <w:sz w:val="24"/>
        </w:rPr>
        <w:t>Learning from Incidents &amp; Mortality (LIM</w:t>
      </w:r>
      <w:r w:rsidR="00DD0A36" w:rsidRPr="00C2247C">
        <w:rPr>
          <w:rFonts w:cs="Arial"/>
          <w:sz w:val="24"/>
        </w:rPr>
        <w:t>M</w:t>
      </w:r>
      <w:r w:rsidR="00475049" w:rsidRPr="00C2247C">
        <w:rPr>
          <w:rFonts w:cs="Arial"/>
          <w:sz w:val="24"/>
        </w:rPr>
        <w:t>)</w:t>
      </w:r>
      <w:r w:rsidRPr="00C2247C">
        <w:rPr>
          <w:rFonts w:cs="Arial"/>
          <w:sz w:val="24"/>
        </w:rPr>
        <w:t xml:space="preserve"> (which is a multi-disciplinary forum) where each death is reviewed using the Mortality Review coding methodology (Appendix 1) to establish the category of death and the level of review required. </w:t>
      </w:r>
    </w:p>
    <w:p w14:paraId="010CBE23" w14:textId="59B297FF" w:rsidR="00A124E7" w:rsidRPr="00C2247C" w:rsidRDefault="00F7351D" w:rsidP="001A68E4">
      <w:pPr>
        <w:rPr>
          <w:rFonts w:cs="Arial"/>
          <w:b/>
          <w:sz w:val="24"/>
        </w:rPr>
      </w:pPr>
      <w:r w:rsidRPr="00C2247C">
        <w:rPr>
          <w:rFonts w:cs="Arial"/>
          <w:b/>
          <w:sz w:val="24"/>
        </w:rPr>
        <w:t>1.</w:t>
      </w:r>
      <w:r w:rsidR="007628B0" w:rsidRPr="00C2247C">
        <w:rPr>
          <w:rFonts w:cs="Arial"/>
          <w:b/>
          <w:sz w:val="24"/>
        </w:rPr>
        <w:t>7</w:t>
      </w:r>
      <w:r w:rsidRPr="00C2247C">
        <w:rPr>
          <w:rFonts w:cs="Arial"/>
          <w:b/>
          <w:sz w:val="24"/>
        </w:rPr>
        <w:t>.4</w:t>
      </w:r>
      <w:r w:rsidRPr="00C2247C">
        <w:rPr>
          <w:rFonts w:cs="Arial"/>
          <w:b/>
          <w:sz w:val="24"/>
        </w:rPr>
        <w:tab/>
        <w:t xml:space="preserve">The decision to investigate or </w:t>
      </w:r>
      <w:r w:rsidR="00282566" w:rsidRPr="00C2247C">
        <w:rPr>
          <w:rFonts w:cs="Arial"/>
          <w:b/>
          <w:sz w:val="24"/>
        </w:rPr>
        <w:t>review</w:t>
      </w:r>
    </w:p>
    <w:p w14:paraId="010CBE24" w14:textId="7C60875D" w:rsidR="00F7351D" w:rsidRPr="00C2247C" w:rsidRDefault="00F7351D" w:rsidP="00F7351D">
      <w:pPr>
        <w:ind w:left="720"/>
        <w:rPr>
          <w:rFonts w:cs="Arial"/>
          <w:sz w:val="24"/>
        </w:rPr>
      </w:pPr>
      <w:r w:rsidRPr="00C2247C">
        <w:rPr>
          <w:rFonts w:cs="Arial"/>
          <w:sz w:val="24"/>
        </w:rPr>
        <w:t>The Trust collects data on all known deaths and has a process in place to determine the scope of deaths which require further review or investigation. The information below sets out these processes in addition to the existing Serious Incident Framework which remain (</w:t>
      </w:r>
      <w:r w:rsidR="00475049" w:rsidRPr="00C2247C">
        <w:rPr>
          <w:rFonts w:cs="Arial"/>
          <w:sz w:val="24"/>
        </w:rPr>
        <w:t>NHS</w:t>
      </w:r>
      <w:r w:rsidR="00423E57">
        <w:rPr>
          <w:rFonts w:cs="Arial"/>
          <w:sz w:val="24"/>
        </w:rPr>
        <w:t xml:space="preserve"> </w:t>
      </w:r>
      <w:r w:rsidR="00475049" w:rsidRPr="00C2247C">
        <w:rPr>
          <w:rFonts w:cs="Arial"/>
          <w:sz w:val="24"/>
        </w:rPr>
        <w:t>E</w:t>
      </w:r>
      <w:r w:rsidR="00423E57">
        <w:rPr>
          <w:rFonts w:cs="Arial"/>
          <w:sz w:val="24"/>
        </w:rPr>
        <w:t>ngland,</w:t>
      </w:r>
      <w:r w:rsidR="00475049" w:rsidRPr="00C2247C">
        <w:rPr>
          <w:rFonts w:cs="Arial"/>
          <w:sz w:val="24"/>
        </w:rPr>
        <w:t xml:space="preserve"> Serious Incident Framework 2015: Supporting learning to prevent recurrence)</w:t>
      </w:r>
      <w:r w:rsidR="00E802D9">
        <w:rPr>
          <w:rFonts w:cs="Arial"/>
          <w:sz w:val="24"/>
        </w:rPr>
        <w:t>.</w:t>
      </w:r>
      <w:r w:rsidR="00DD0A36" w:rsidRPr="00C2247C">
        <w:rPr>
          <w:rFonts w:cs="Arial"/>
          <w:sz w:val="24"/>
        </w:rPr>
        <w:t xml:space="preserve"> </w:t>
      </w:r>
      <w:r w:rsidR="00E802D9">
        <w:rPr>
          <w:rFonts w:cs="Arial"/>
          <w:sz w:val="24"/>
        </w:rPr>
        <w:t>T</w:t>
      </w:r>
      <w:r w:rsidR="00DD0A36" w:rsidRPr="00C2247C">
        <w:rPr>
          <w:rFonts w:cs="Arial"/>
          <w:sz w:val="24"/>
        </w:rPr>
        <w:t xml:space="preserve">his framework will be replaced by </w:t>
      </w:r>
      <w:r w:rsidR="00423E57">
        <w:rPr>
          <w:rFonts w:cs="Arial"/>
          <w:sz w:val="24"/>
        </w:rPr>
        <w:t xml:space="preserve">the Patient Safety </w:t>
      </w:r>
      <w:r w:rsidR="00DC63B5">
        <w:rPr>
          <w:rFonts w:cs="Arial"/>
          <w:sz w:val="24"/>
        </w:rPr>
        <w:t>Incident</w:t>
      </w:r>
      <w:r w:rsidR="00423E57">
        <w:rPr>
          <w:rFonts w:cs="Arial"/>
          <w:sz w:val="24"/>
        </w:rPr>
        <w:t xml:space="preserve"> Response Framework in</w:t>
      </w:r>
      <w:r w:rsidR="00DD0A36" w:rsidRPr="00C2247C">
        <w:rPr>
          <w:rFonts w:cs="Arial"/>
          <w:sz w:val="24"/>
        </w:rPr>
        <w:t xml:space="preserve"> 2023</w:t>
      </w:r>
      <w:r w:rsidR="002F038E" w:rsidRPr="00C2247C">
        <w:rPr>
          <w:rFonts w:cs="Arial"/>
          <w:sz w:val="24"/>
        </w:rPr>
        <w:t xml:space="preserve">. The decision is made at the </w:t>
      </w:r>
      <w:r w:rsidR="00A35984">
        <w:rPr>
          <w:rFonts w:cs="Arial"/>
          <w:sz w:val="24"/>
        </w:rPr>
        <w:t>fortnightly</w:t>
      </w:r>
      <w:r w:rsidR="002F038E" w:rsidRPr="00C2247C">
        <w:rPr>
          <w:rFonts w:cs="Arial"/>
          <w:sz w:val="24"/>
        </w:rPr>
        <w:t xml:space="preserve"> Learning from Incidents and Mortality Meeting (LIMM). All deaths reported are subject to a table top review initially and those who meet the criteria below will be subject to a further review at LIMM, and agreements made regarding coding the death and if appropriate allocation of an investigation. </w:t>
      </w:r>
    </w:p>
    <w:p w14:paraId="5339DB6C" w14:textId="77777777" w:rsidR="00C2247C" w:rsidRPr="00C2247C" w:rsidRDefault="00C2247C" w:rsidP="00C2247C">
      <w:pPr>
        <w:tabs>
          <w:tab w:val="left" w:pos="0"/>
        </w:tabs>
        <w:spacing w:before="0" w:after="0"/>
        <w:jc w:val="left"/>
        <w:rPr>
          <w:rFonts w:cs="Arial"/>
          <w:sz w:val="24"/>
        </w:rPr>
      </w:pPr>
      <w:r w:rsidRPr="00C2247C">
        <w:rPr>
          <w:rFonts w:cs="Arial"/>
          <w:b/>
          <w:sz w:val="24"/>
        </w:rPr>
        <w:tab/>
      </w:r>
    </w:p>
    <w:tbl>
      <w:tblPr>
        <w:tblStyle w:val="TableGrid"/>
        <w:tblW w:w="0" w:type="auto"/>
        <w:tblLook w:val="04A0" w:firstRow="1" w:lastRow="0" w:firstColumn="1" w:lastColumn="0" w:noHBand="0" w:noVBand="1"/>
      </w:tblPr>
      <w:tblGrid>
        <w:gridCol w:w="9009"/>
      </w:tblGrid>
      <w:tr w:rsidR="00C2247C" w:rsidRPr="00C2247C" w14:paraId="1822C4F7" w14:textId="77777777" w:rsidTr="00776D86">
        <w:trPr>
          <w:trHeight w:val="1570"/>
        </w:trPr>
        <w:tc>
          <w:tcPr>
            <w:tcW w:w="9009" w:type="dxa"/>
          </w:tcPr>
          <w:p w14:paraId="6DA3AF39" w14:textId="4618B806" w:rsidR="00C2247C" w:rsidRDefault="00C2247C" w:rsidP="00244649">
            <w:pPr>
              <w:rPr>
                <w:rFonts w:cs="Arial"/>
                <w:sz w:val="24"/>
              </w:rPr>
            </w:pPr>
            <w:r w:rsidRPr="00C2247C">
              <w:rPr>
                <w:rFonts w:cs="Arial"/>
                <w:sz w:val="24"/>
              </w:rPr>
              <w:t>LYPFT has a core process around:</w:t>
            </w:r>
          </w:p>
          <w:p w14:paraId="3B861A9D" w14:textId="7F28E65C" w:rsidR="00C2247C" w:rsidRPr="006B49DA" w:rsidRDefault="00423E57" w:rsidP="008168F1">
            <w:pPr>
              <w:pStyle w:val="ListParagraph"/>
              <w:numPr>
                <w:ilvl w:val="0"/>
                <w:numId w:val="12"/>
              </w:numPr>
              <w:spacing w:before="0" w:after="160" w:line="259" w:lineRule="auto"/>
              <w:jc w:val="left"/>
              <w:rPr>
                <w:rFonts w:cs="Arial"/>
                <w:b/>
                <w:bCs/>
                <w:sz w:val="24"/>
              </w:rPr>
            </w:pPr>
            <w:r w:rsidRPr="006B49DA">
              <w:rPr>
                <w:rFonts w:cs="Arial"/>
                <w:sz w:val="24"/>
              </w:rPr>
              <w:t>a</w:t>
            </w:r>
            <w:r w:rsidR="00C2247C" w:rsidRPr="006B49DA">
              <w:rPr>
                <w:rFonts w:cs="Arial"/>
                <w:sz w:val="24"/>
              </w:rPr>
              <w:t xml:space="preserve">n initial screen of each death </w:t>
            </w:r>
            <w:r w:rsidR="002B213B" w:rsidRPr="006B49DA">
              <w:rPr>
                <w:rFonts w:cs="Arial"/>
                <w:sz w:val="24"/>
              </w:rPr>
              <w:t>e.g.,</w:t>
            </w:r>
            <w:r w:rsidR="00C2247C" w:rsidRPr="006B49DA">
              <w:rPr>
                <w:rFonts w:cs="Arial"/>
                <w:sz w:val="24"/>
              </w:rPr>
              <w:t xml:space="preserve"> weekly review by Patient Safety Managers</w:t>
            </w:r>
            <w:r w:rsidR="00C2247C" w:rsidRPr="006B49DA">
              <w:rPr>
                <w:rFonts w:cs="Arial"/>
                <w:b/>
                <w:bCs/>
                <w:sz w:val="24"/>
              </w:rPr>
              <w:t>.</w:t>
            </w:r>
          </w:p>
          <w:p w14:paraId="22B7CB15" w14:textId="2E1D80E5" w:rsidR="00C2247C" w:rsidRPr="00C2247C" w:rsidRDefault="00423E57" w:rsidP="008168F1">
            <w:pPr>
              <w:pStyle w:val="ListParagraph"/>
              <w:numPr>
                <w:ilvl w:val="0"/>
                <w:numId w:val="12"/>
              </w:numPr>
              <w:spacing w:before="0" w:after="160" w:line="259" w:lineRule="auto"/>
              <w:jc w:val="left"/>
              <w:rPr>
                <w:rFonts w:cs="Arial"/>
                <w:sz w:val="24"/>
              </w:rPr>
            </w:pPr>
            <w:r w:rsidRPr="00C2247C">
              <w:rPr>
                <w:rFonts w:cs="Arial"/>
                <w:sz w:val="24"/>
              </w:rPr>
              <w:t>L</w:t>
            </w:r>
            <w:r>
              <w:rPr>
                <w:rFonts w:cs="Arial"/>
                <w:sz w:val="24"/>
              </w:rPr>
              <w:t xml:space="preserve">earning from Incidents and Mortality Meeting </w:t>
            </w:r>
            <w:r w:rsidR="006B49DA">
              <w:rPr>
                <w:rFonts w:cs="Arial"/>
                <w:sz w:val="24"/>
              </w:rPr>
              <w:t>which is held f</w:t>
            </w:r>
            <w:r>
              <w:rPr>
                <w:rFonts w:cs="Arial"/>
                <w:sz w:val="24"/>
              </w:rPr>
              <w:t xml:space="preserve">ortnightly. </w:t>
            </w:r>
            <w:r w:rsidR="00C2247C" w:rsidRPr="00C2247C">
              <w:rPr>
                <w:rFonts w:cs="Arial"/>
                <w:sz w:val="24"/>
              </w:rPr>
              <w:t xml:space="preserve"> </w:t>
            </w:r>
          </w:p>
          <w:p w14:paraId="7FF6BA7E" w14:textId="2A03CF47" w:rsidR="00C2247C" w:rsidRPr="006B49DA" w:rsidRDefault="006B49DA" w:rsidP="006B49DA">
            <w:pPr>
              <w:pStyle w:val="ListParagraph"/>
              <w:spacing w:before="0" w:after="160" w:line="259" w:lineRule="auto"/>
              <w:jc w:val="left"/>
              <w:rPr>
                <w:rFonts w:cs="Arial"/>
                <w:sz w:val="24"/>
              </w:rPr>
            </w:pPr>
            <w:r>
              <w:rPr>
                <w:rFonts w:cs="Arial"/>
                <w:sz w:val="24"/>
              </w:rPr>
              <w:t xml:space="preserve">The meeting considers deaths where </w:t>
            </w:r>
            <w:r w:rsidR="00C2247C" w:rsidRPr="00C2247C">
              <w:rPr>
                <w:rFonts w:cs="Arial"/>
                <w:sz w:val="24"/>
              </w:rPr>
              <w:t xml:space="preserve">further review </w:t>
            </w:r>
            <w:r>
              <w:rPr>
                <w:rFonts w:cs="Arial"/>
                <w:sz w:val="24"/>
              </w:rPr>
              <w:t xml:space="preserve">may be indicated as </w:t>
            </w:r>
            <w:r w:rsidR="00E802D9">
              <w:rPr>
                <w:rFonts w:cs="Arial"/>
                <w:sz w:val="24"/>
              </w:rPr>
              <w:t>it meets</w:t>
            </w:r>
            <w:r w:rsidR="00A6200A">
              <w:rPr>
                <w:rFonts w:cs="Arial"/>
                <w:sz w:val="24"/>
              </w:rPr>
              <w:t xml:space="preserve"> an agreed</w:t>
            </w:r>
            <w:r w:rsidR="00C2247C" w:rsidRPr="00C2247C">
              <w:rPr>
                <w:rFonts w:cs="Arial"/>
                <w:sz w:val="24"/>
              </w:rPr>
              <w:t xml:space="preserve"> criteria or</w:t>
            </w:r>
            <w:r>
              <w:rPr>
                <w:rFonts w:cs="Arial"/>
                <w:sz w:val="24"/>
              </w:rPr>
              <w:t xml:space="preserve"> there are potential opportunities for organisational learning</w:t>
            </w:r>
            <w:r w:rsidR="00C2247C" w:rsidRPr="006B49DA">
              <w:rPr>
                <w:rFonts w:cs="Arial"/>
                <w:sz w:val="24"/>
              </w:rPr>
              <w:t xml:space="preserve">. </w:t>
            </w:r>
          </w:p>
          <w:p w14:paraId="375D7A1F" w14:textId="72F978D3" w:rsidR="00C2247C" w:rsidRPr="00C2247C" w:rsidRDefault="00C2247C" w:rsidP="00DC63B5">
            <w:pPr>
              <w:pStyle w:val="ListParagraph"/>
              <w:numPr>
                <w:ilvl w:val="0"/>
                <w:numId w:val="26"/>
              </w:numPr>
              <w:spacing w:before="0" w:after="160" w:line="259" w:lineRule="auto"/>
              <w:jc w:val="left"/>
              <w:rPr>
                <w:rFonts w:cs="Arial"/>
                <w:sz w:val="24"/>
              </w:rPr>
            </w:pPr>
            <w:r w:rsidRPr="00C2247C">
              <w:rPr>
                <w:rFonts w:cs="Arial"/>
                <w:sz w:val="24"/>
              </w:rPr>
              <w:t xml:space="preserve">Any </w:t>
            </w:r>
            <w:r w:rsidR="002B213B" w:rsidRPr="00C2247C">
              <w:rPr>
                <w:rFonts w:cs="Arial"/>
                <w:sz w:val="24"/>
              </w:rPr>
              <w:t>initial</w:t>
            </w:r>
            <w:r w:rsidRPr="00C2247C">
              <w:rPr>
                <w:rFonts w:cs="Arial"/>
                <w:sz w:val="24"/>
              </w:rPr>
              <w:t xml:space="preserve"> review such as a S</w:t>
            </w:r>
            <w:r w:rsidR="00A6200A">
              <w:rPr>
                <w:rFonts w:cs="Arial"/>
                <w:sz w:val="24"/>
              </w:rPr>
              <w:t xml:space="preserve">tructured </w:t>
            </w:r>
            <w:r w:rsidRPr="00C2247C">
              <w:rPr>
                <w:rFonts w:cs="Arial"/>
                <w:sz w:val="24"/>
              </w:rPr>
              <w:t>J</w:t>
            </w:r>
            <w:r w:rsidR="00A6200A">
              <w:rPr>
                <w:rFonts w:cs="Arial"/>
                <w:sz w:val="24"/>
              </w:rPr>
              <w:t xml:space="preserve">udgement Review </w:t>
            </w:r>
            <w:r w:rsidRPr="00C2247C">
              <w:rPr>
                <w:rFonts w:cs="Arial"/>
                <w:sz w:val="24"/>
              </w:rPr>
              <w:t>can be escalated to a comprehensive review</w:t>
            </w:r>
            <w:r w:rsidR="00A6200A">
              <w:rPr>
                <w:rFonts w:cs="Arial"/>
                <w:sz w:val="24"/>
              </w:rPr>
              <w:t>, where appropriate</w:t>
            </w:r>
            <w:r w:rsidRPr="00C2247C">
              <w:rPr>
                <w:rFonts w:cs="Arial"/>
                <w:sz w:val="24"/>
              </w:rPr>
              <w:t xml:space="preserve">, </w:t>
            </w:r>
            <w:r w:rsidR="002B213B" w:rsidRPr="00C2247C">
              <w:rPr>
                <w:rFonts w:cs="Arial"/>
                <w:sz w:val="24"/>
              </w:rPr>
              <w:t>i.e.,</w:t>
            </w:r>
            <w:r w:rsidRPr="00C2247C">
              <w:rPr>
                <w:rFonts w:cs="Arial"/>
                <w:sz w:val="24"/>
              </w:rPr>
              <w:t xml:space="preserve"> </w:t>
            </w:r>
            <w:r w:rsidR="00A6200A" w:rsidRPr="00C2247C">
              <w:rPr>
                <w:rFonts w:cs="Arial"/>
                <w:sz w:val="24"/>
              </w:rPr>
              <w:t>the</w:t>
            </w:r>
            <w:r w:rsidR="00A6200A">
              <w:rPr>
                <w:rFonts w:cs="Arial"/>
                <w:sz w:val="24"/>
              </w:rPr>
              <w:t xml:space="preserve"> review highlights </w:t>
            </w:r>
            <w:r w:rsidRPr="00C2247C">
              <w:rPr>
                <w:rFonts w:cs="Arial"/>
                <w:sz w:val="24"/>
              </w:rPr>
              <w:t xml:space="preserve">significant concerns which requires a more in depth understanding of the care provided prior to death. </w:t>
            </w:r>
          </w:p>
        </w:tc>
      </w:tr>
    </w:tbl>
    <w:p w14:paraId="08EAF912" w14:textId="77777777" w:rsidR="00C2247C" w:rsidRPr="00C2247C" w:rsidRDefault="00C2247C" w:rsidP="00C2247C">
      <w:pPr>
        <w:tabs>
          <w:tab w:val="left" w:pos="0"/>
        </w:tabs>
        <w:spacing w:before="0" w:after="0"/>
        <w:jc w:val="left"/>
        <w:rPr>
          <w:rFonts w:cs="Arial"/>
          <w:sz w:val="24"/>
        </w:rPr>
      </w:pPr>
    </w:p>
    <w:p w14:paraId="3961EA00" w14:textId="47F6460F" w:rsidR="00C2247C" w:rsidRPr="00C2247C" w:rsidRDefault="00C2247C" w:rsidP="00A6200A">
      <w:pPr>
        <w:tabs>
          <w:tab w:val="left" w:pos="0"/>
        </w:tabs>
        <w:spacing w:before="0" w:after="0"/>
        <w:ind w:left="720"/>
        <w:jc w:val="left"/>
        <w:rPr>
          <w:rFonts w:cs="Arial"/>
          <w:sz w:val="24"/>
        </w:rPr>
      </w:pPr>
      <w:r w:rsidRPr="00C2247C">
        <w:rPr>
          <w:rFonts w:cs="Arial"/>
          <w:sz w:val="24"/>
        </w:rPr>
        <w:t xml:space="preserve">The Patient Safety Managers present all deaths in scope to the </w:t>
      </w:r>
      <w:r w:rsidR="00A6200A">
        <w:rPr>
          <w:rFonts w:cs="Arial"/>
          <w:sz w:val="24"/>
        </w:rPr>
        <w:t>fortnightly</w:t>
      </w:r>
      <w:r w:rsidRPr="00C2247C">
        <w:rPr>
          <w:rFonts w:cs="Arial"/>
          <w:sz w:val="24"/>
        </w:rPr>
        <w:t xml:space="preserve"> </w:t>
      </w:r>
      <w:r w:rsidR="00A6200A" w:rsidRPr="00C2247C">
        <w:rPr>
          <w:rFonts w:cs="Arial"/>
          <w:sz w:val="24"/>
        </w:rPr>
        <w:t>L</w:t>
      </w:r>
      <w:r w:rsidR="00A6200A">
        <w:rPr>
          <w:rFonts w:cs="Arial"/>
          <w:sz w:val="24"/>
        </w:rPr>
        <w:t>earning from Incidents and Mortality Meeting. This is the decision meeting</w:t>
      </w:r>
      <w:r w:rsidRPr="00C2247C">
        <w:rPr>
          <w:rFonts w:cs="Arial"/>
          <w:sz w:val="24"/>
        </w:rPr>
        <w:t xml:space="preserve"> to </w:t>
      </w:r>
      <w:r w:rsidR="00A6200A">
        <w:rPr>
          <w:rFonts w:cs="Arial"/>
          <w:sz w:val="24"/>
        </w:rPr>
        <w:lastRenderedPageBreak/>
        <w:t xml:space="preserve">ensure </w:t>
      </w:r>
      <w:r w:rsidRPr="00C2247C">
        <w:rPr>
          <w:rFonts w:cs="Arial"/>
          <w:sz w:val="24"/>
        </w:rPr>
        <w:t>the</w:t>
      </w:r>
      <w:r w:rsidR="00A6200A">
        <w:rPr>
          <w:rFonts w:cs="Arial"/>
          <w:sz w:val="24"/>
        </w:rPr>
        <w:t xml:space="preserve"> correct</w:t>
      </w:r>
      <w:r w:rsidRPr="00C2247C">
        <w:rPr>
          <w:rFonts w:cs="Arial"/>
          <w:sz w:val="24"/>
        </w:rPr>
        <w:t xml:space="preserve"> coding of the death and </w:t>
      </w:r>
      <w:r w:rsidR="00A6200A">
        <w:rPr>
          <w:rFonts w:cs="Arial"/>
          <w:sz w:val="24"/>
        </w:rPr>
        <w:t>if</w:t>
      </w:r>
      <w:r w:rsidRPr="00C2247C">
        <w:rPr>
          <w:rFonts w:cs="Arial"/>
          <w:sz w:val="24"/>
        </w:rPr>
        <w:t xml:space="preserve"> investigation </w:t>
      </w:r>
      <w:r w:rsidR="00A6200A">
        <w:rPr>
          <w:rFonts w:cs="Arial"/>
          <w:sz w:val="24"/>
        </w:rPr>
        <w:t xml:space="preserve">is </w:t>
      </w:r>
      <w:r w:rsidRPr="00C2247C">
        <w:rPr>
          <w:rFonts w:cs="Arial"/>
          <w:sz w:val="24"/>
        </w:rPr>
        <w:t xml:space="preserve">required. A death meeting the SI criteria will be reported as a serious incident and an investigation commissioned in line with the Trust’s Incident </w:t>
      </w:r>
      <w:r w:rsidR="00A6200A">
        <w:rPr>
          <w:rFonts w:cs="Arial"/>
          <w:sz w:val="24"/>
        </w:rPr>
        <w:t>R</w:t>
      </w:r>
      <w:r w:rsidRPr="00C2247C">
        <w:rPr>
          <w:rFonts w:cs="Arial"/>
          <w:sz w:val="24"/>
        </w:rPr>
        <w:t xml:space="preserve">eporting and </w:t>
      </w:r>
      <w:r w:rsidR="00A6200A">
        <w:rPr>
          <w:rFonts w:cs="Arial"/>
          <w:sz w:val="24"/>
        </w:rPr>
        <w:t>M</w:t>
      </w:r>
      <w:r w:rsidRPr="00C2247C">
        <w:rPr>
          <w:rFonts w:cs="Arial"/>
          <w:sz w:val="24"/>
        </w:rPr>
        <w:t xml:space="preserve">anagement (including serious incidents) </w:t>
      </w:r>
      <w:r w:rsidR="00A6200A">
        <w:rPr>
          <w:rFonts w:cs="Arial"/>
          <w:sz w:val="24"/>
        </w:rPr>
        <w:t>P</w:t>
      </w:r>
      <w:r w:rsidRPr="00C2247C">
        <w:rPr>
          <w:rFonts w:cs="Arial"/>
          <w:sz w:val="24"/>
        </w:rPr>
        <w:t>olicy</w:t>
      </w:r>
      <w:r w:rsidR="008155D0">
        <w:rPr>
          <w:rFonts w:cs="Arial"/>
          <w:sz w:val="24"/>
        </w:rPr>
        <w:t>;</w:t>
      </w:r>
      <w:r w:rsidRPr="00C2247C">
        <w:rPr>
          <w:rFonts w:cs="Arial"/>
          <w:sz w:val="24"/>
        </w:rPr>
        <w:t xml:space="preserve"> of note is that this process will change with the implementation of PSIRF in 2023. </w:t>
      </w:r>
    </w:p>
    <w:p w14:paraId="7C5AE042" w14:textId="77777777" w:rsidR="00C2247C" w:rsidRPr="00C2247C" w:rsidRDefault="00C2247C" w:rsidP="00C2247C">
      <w:pPr>
        <w:tabs>
          <w:tab w:val="left" w:pos="0"/>
        </w:tabs>
        <w:spacing w:before="0" w:after="0"/>
        <w:jc w:val="left"/>
        <w:rPr>
          <w:rFonts w:cs="Arial"/>
          <w:sz w:val="24"/>
        </w:rPr>
      </w:pPr>
    </w:p>
    <w:p w14:paraId="455A3126" w14:textId="5874282A" w:rsidR="00C2247C" w:rsidRPr="00C2247C" w:rsidRDefault="00C2247C" w:rsidP="00C2247C">
      <w:pPr>
        <w:tabs>
          <w:tab w:val="left" w:pos="0"/>
        </w:tabs>
        <w:spacing w:before="0" w:after="0"/>
        <w:jc w:val="left"/>
        <w:rPr>
          <w:rFonts w:cs="Arial"/>
          <w:sz w:val="24"/>
        </w:rPr>
      </w:pPr>
      <w:r w:rsidRPr="00C2247C">
        <w:rPr>
          <w:rFonts w:cs="Arial"/>
          <w:sz w:val="24"/>
        </w:rPr>
        <w:tab/>
        <w:t xml:space="preserve">The codes are as follows: </w:t>
      </w:r>
    </w:p>
    <w:p w14:paraId="301C4B4F" w14:textId="77777777" w:rsidR="00C2247C" w:rsidRPr="00C2247C" w:rsidRDefault="00C2247C" w:rsidP="00C2247C">
      <w:pPr>
        <w:tabs>
          <w:tab w:val="left" w:pos="0"/>
        </w:tabs>
        <w:spacing w:before="0" w:after="0"/>
        <w:jc w:val="left"/>
        <w:rPr>
          <w:rFonts w:cs="Arial"/>
          <w:sz w:val="24"/>
        </w:rPr>
      </w:pPr>
    </w:p>
    <w:p w14:paraId="4881DAA2" w14:textId="2565F587" w:rsidR="00C2247C" w:rsidRPr="00C2247C" w:rsidRDefault="00C2247C" w:rsidP="008168F1">
      <w:pPr>
        <w:pStyle w:val="ListParagraph"/>
        <w:numPr>
          <w:ilvl w:val="0"/>
          <w:numId w:val="15"/>
        </w:numPr>
        <w:tabs>
          <w:tab w:val="left" w:pos="0"/>
        </w:tabs>
        <w:spacing w:before="0" w:after="0"/>
        <w:jc w:val="left"/>
        <w:rPr>
          <w:rFonts w:cs="Arial"/>
          <w:sz w:val="24"/>
        </w:rPr>
      </w:pPr>
      <w:r w:rsidRPr="00C2247C">
        <w:rPr>
          <w:rFonts w:cs="Arial"/>
          <w:sz w:val="24"/>
        </w:rPr>
        <w:t xml:space="preserve">Expected natural (EN1) – </w:t>
      </w:r>
      <w:r w:rsidR="002B213B" w:rsidRPr="00C2247C">
        <w:rPr>
          <w:rFonts w:cs="Arial"/>
          <w:sz w:val="24"/>
        </w:rPr>
        <w:t>e.g.,</w:t>
      </w:r>
      <w:r w:rsidRPr="00C2247C">
        <w:rPr>
          <w:rFonts w:cs="Arial"/>
          <w:sz w:val="24"/>
        </w:rPr>
        <w:t xml:space="preserve"> Terminal illness</w:t>
      </w:r>
    </w:p>
    <w:p w14:paraId="38AD56E3" w14:textId="11CC64D2" w:rsidR="00C2247C" w:rsidRPr="00C2247C" w:rsidRDefault="00C2247C" w:rsidP="008168F1">
      <w:pPr>
        <w:pStyle w:val="ListParagraph"/>
        <w:numPr>
          <w:ilvl w:val="0"/>
          <w:numId w:val="15"/>
        </w:numPr>
        <w:tabs>
          <w:tab w:val="left" w:pos="0"/>
        </w:tabs>
        <w:spacing w:before="0" w:after="0"/>
        <w:jc w:val="left"/>
        <w:rPr>
          <w:rFonts w:cs="Arial"/>
          <w:sz w:val="24"/>
        </w:rPr>
      </w:pPr>
      <w:r w:rsidRPr="00C2247C">
        <w:rPr>
          <w:rFonts w:cs="Arial"/>
          <w:sz w:val="24"/>
        </w:rPr>
        <w:t>Unexpected natural (UN2) –</w:t>
      </w:r>
      <w:r w:rsidR="002B213B" w:rsidRPr="00C2247C">
        <w:rPr>
          <w:rFonts w:cs="Arial"/>
          <w:sz w:val="24"/>
        </w:rPr>
        <w:t>e.g.,</w:t>
      </w:r>
      <w:r w:rsidRPr="00C2247C">
        <w:rPr>
          <w:rFonts w:cs="Arial"/>
          <w:sz w:val="24"/>
        </w:rPr>
        <w:t xml:space="preserve"> alcohol dependency but care concerns</w:t>
      </w:r>
      <w:r w:rsidR="00A35984">
        <w:rPr>
          <w:rFonts w:cs="Arial"/>
          <w:sz w:val="24"/>
        </w:rPr>
        <w:t>, multiple co-morbidities, including physical health</w:t>
      </w:r>
    </w:p>
    <w:p w14:paraId="6CEB1ABA" w14:textId="390A2B2D" w:rsidR="00C2247C" w:rsidRPr="00C2247C" w:rsidRDefault="00C2247C" w:rsidP="008168F1">
      <w:pPr>
        <w:pStyle w:val="ListParagraph"/>
        <w:numPr>
          <w:ilvl w:val="0"/>
          <w:numId w:val="15"/>
        </w:numPr>
        <w:tabs>
          <w:tab w:val="left" w:pos="0"/>
        </w:tabs>
        <w:spacing w:before="0" w:after="0"/>
        <w:jc w:val="left"/>
        <w:rPr>
          <w:rFonts w:cs="Arial"/>
          <w:sz w:val="24"/>
        </w:rPr>
      </w:pPr>
      <w:r w:rsidRPr="00C2247C">
        <w:rPr>
          <w:rFonts w:cs="Arial"/>
          <w:sz w:val="24"/>
        </w:rPr>
        <w:t xml:space="preserve">Unexpected unnatural (UU) - </w:t>
      </w:r>
      <w:r w:rsidR="002B213B" w:rsidRPr="00C2247C">
        <w:rPr>
          <w:rFonts w:cs="Arial"/>
          <w:sz w:val="24"/>
        </w:rPr>
        <w:t>e.g.,</w:t>
      </w:r>
      <w:r w:rsidRPr="00C2247C">
        <w:rPr>
          <w:rFonts w:cs="Arial"/>
          <w:sz w:val="24"/>
        </w:rPr>
        <w:t xml:space="preserve"> suicide, homicide, abuse, neglect</w:t>
      </w:r>
    </w:p>
    <w:p w14:paraId="126D50BA" w14:textId="77777777" w:rsidR="00C2247C" w:rsidRPr="00C2247C" w:rsidRDefault="00C2247C" w:rsidP="008168F1">
      <w:pPr>
        <w:pStyle w:val="ListParagraph"/>
        <w:numPr>
          <w:ilvl w:val="0"/>
          <w:numId w:val="15"/>
        </w:numPr>
        <w:tabs>
          <w:tab w:val="left" w:pos="0"/>
        </w:tabs>
        <w:spacing w:before="0" w:after="0"/>
        <w:jc w:val="left"/>
        <w:rPr>
          <w:rFonts w:cs="Arial"/>
          <w:sz w:val="24"/>
        </w:rPr>
      </w:pPr>
      <w:r w:rsidRPr="00C2247C">
        <w:rPr>
          <w:rFonts w:cs="Arial"/>
          <w:sz w:val="24"/>
        </w:rPr>
        <w:t xml:space="preserve">Not our Death (NOD) – not the main provider of care, therefore not in scope. </w:t>
      </w:r>
    </w:p>
    <w:p w14:paraId="2C41E2A6" w14:textId="7F2A9B29" w:rsidR="00F30C7D" w:rsidRPr="00E644F5" w:rsidRDefault="00F7351D" w:rsidP="00E644F5">
      <w:pPr>
        <w:tabs>
          <w:tab w:val="left" w:pos="0"/>
        </w:tabs>
        <w:spacing w:before="120" w:after="240"/>
        <w:ind w:left="720"/>
        <w:jc w:val="left"/>
        <w:rPr>
          <w:rFonts w:cs="Arial"/>
          <w:sz w:val="24"/>
        </w:rPr>
      </w:pPr>
      <w:r w:rsidRPr="00C2247C">
        <w:rPr>
          <w:rFonts w:cs="Arial"/>
          <w:sz w:val="24"/>
        </w:rPr>
        <w:t>For people with a Learning Disability</w:t>
      </w:r>
      <w:r w:rsidR="00523912">
        <w:rPr>
          <w:rFonts w:cs="Arial"/>
          <w:sz w:val="24"/>
        </w:rPr>
        <w:t xml:space="preserve"> or autism</w:t>
      </w:r>
      <w:r w:rsidRPr="00C2247C">
        <w:rPr>
          <w:rFonts w:cs="Arial"/>
          <w:sz w:val="24"/>
        </w:rPr>
        <w:t xml:space="preserve"> the Trust supports the approach of the LeDer program</w:t>
      </w:r>
      <w:r w:rsidR="00523912">
        <w:rPr>
          <w:rFonts w:cs="Arial"/>
          <w:sz w:val="24"/>
        </w:rPr>
        <w:t xml:space="preserve"> with</w:t>
      </w:r>
      <w:r w:rsidR="00D63590" w:rsidRPr="00C2247C">
        <w:rPr>
          <w:rFonts w:cs="Arial"/>
          <w:sz w:val="24"/>
        </w:rPr>
        <w:t xml:space="preserve"> </w:t>
      </w:r>
      <w:r w:rsidR="00523912">
        <w:rPr>
          <w:rFonts w:cs="Arial"/>
          <w:sz w:val="24"/>
        </w:rPr>
        <w:t xml:space="preserve">deaths </w:t>
      </w:r>
      <w:r w:rsidR="00D63590" w:rsidRPr="00C2247C">
        <w:rPr>
          <w:rFonts w:cs="Arial"/>
          <w:sz w:val="24"/>
        </w:rPr>
        <w:t xml:space="preserve">subject to a </w:t>
      </w:r>
      <w:r w:rsidR="006B49DA">
        <w:rPr>
          <w:rFonts w:cs="Arial"/>
          <w:sz w:val="24"/>
        </w:rPr>
        <w:t xml:space="preserve">fact find </w:t>
      </w:r>
      <w:r w:rsidR="00A16BFA" w:rsidRPr="00C2247C">
        <w:rPr>
          <w:rFonts w:cs="Arial"/>
          <w:sz w:val="24"/>
        </w:rPr>
        <w:t>in the first instance to identify an</w:t>
      </w:r>
      <w:r w:rsidR="002B213B">
        <w:rPr>
          <w:rFonts w:cs="Arial"/>
          <w:sz w:val="24"/>
        </w:rPr>
        <w:t>y</w:t>
      </w:r>
      <w:r w:rsidR="00A16BFA" w:rsidRPr="00C2247C">
        <w:rPr>
          <w:rFonts w:cs="Arial"/>
          <w:sz w:val="24"/>
        </w:rPr>
        <w:t xml:space="preserve"> immediate internal learning</w:t>
      </w:r>
      <w:r w:rsidR="008155D0">
        <w:rPr>
          <w:rFonts w:cs="Arial"/>
          <w:sz w:val="24"/>
        </w:rPr>
        <w:t>.</w:t>
      </w:r>
      <w:r w:rsidR="00A16BFA" w:rsidRPr="00C2247C">
        <w:rPr>
          <w:rFonts w:cs="Arial"/>
          <w:sz w:val="24"/>
        </w:rPr>
        <w:t xml:space="preserve"> </w:t>
      </w:r>
      <w:r w:rsidR="008155D0">
        <w:rPr>
          <w:rFonts w:cs="Arial"/>
          <w:sz w:val="24"/>
        </w:rPr>
        <w:t>T</w:t>
      </w:r>
      <w:r w:rsidR="002B213B">
        <w:rPr>
          <w:rFonts w:cs="Arial"/>
          <w:sz w:val="24"/>
        </w:rPr>
        <w:t xml:space="preserve">he </w:t>
      </w:r>
      <w:r w:rsidR="00D63590" w:rsidRPr="00C2247C">
        <w:rPr>
          <w:rFonts w:cs="Arial"/>
          <w:sz w:val="24"/>
        </w:rPr>
        <w:t xml:space="preserve">death is </w:t>
      </w:r>
      <w:r w:rsidR="002B213B">
        <w:rPr>
          <w:rFonts w:cs="Arial"/>
          <w:sz w:val="24"/>
        </w:rPr>
        <w:t xml:space="preserve">also </w:t>
      </w:r>
      <w:r w:rsidR="00D63590" w:rsidRPr="00C2247C">
        <w:rPr>
          <w:rFonts w:cs="Arial"/>
          <w:sz w:val="24"/>
        </w:rPr>
        <w:t>reported to LeDer via the website</w:t>
      </w:r>
      <w:r w:rsidR="002B213B">
        <w:rPr>
          <w:rFonts w:cs="Arial"/>
          <w:sz w:val="24"/>
        </w:rPr>
        <w:t xml:space="preserve">: </w:t>
      </w:r>
      <w:hyperlink r:id="rId13" w:history="1">
        <w:r w:rsidR="00A16BFA" w:rsidRPr="00C2247C">
          <w:rPr>
            <w:rStyle w:val="Hyperlink"/>
            <w:rFonts w:cs="Arial"/>
            <w:sz w:val="24"/>
          </w:rPr>
          <w:t>https://leder.nhs.uk/report</w:t>
        </w:r>
      </w:hyperlink>
    </w:p>
    <w:p w14:paraId="74A9294C" w14:textId="76A0B2B9" w:rsidR="00A16BFA" w:rsidRPr="00C2247C" w:rsidRDefault="00A16BFA" w:rsidP="00E60CAF">
      <w:pPr>
        <w:ind w:left="720"/>
        <w:rPr>
          <w:rFonts w:cs="Arial"/>
          <w:b/>
          <w:bCs/>
          <w:sz w:val="24"/>
        </w:rPr>
      </w:pPr>
      <w:r w:rsidRPr="00C2247C">
        <w:rPr>
          <w:rFonts w:cs="Arial"/>
          <w:b/>
          <w:bCs/>
          <w:sz w:val="24"/>
        </w:rPr>
        <w:t>National Guidance</w:t>
      </w:r>
    </w:p>
    <w:p w14:paraId="010CBE26" w14:textId="2761F964" w:rsidR="00E60CAF" w:rsidRPr="00C2247C" w:rsidRDefault="00E60CAF" w:rsidP="00E60CAF">
      <w:pPr>
        <w:ind w:left="720"/>
        <w:rPr>
          <w:rFonts w:cs="Arial"/>
          <w:sz w:val="24"/>
        </w:rPr>
      </w:pPr>
      <w:r w:rsidRPr="00C2247C">
        <w:rPr>
          <w:rFonts w:cs="Arial"/>
          <w:sz w:val="24"/>
        </w:rPr>
        <w:t xml:space="preserve">The NQB National Guidance on Learning from Deaths provides the context to the review or investigation of deaths and establishes a number of “must dos” in terms of investigations. These include: </w:t>
      </w:r>
    </w:p>
    <w:p w14:paraId="010CBE27" w14:textId="35836BE4" w:rsidR="00E60CAF" w:rsidRPr="00F30C7D" w:rsidRDefault="00E60CAF" w:rsidP="008168F1">
      <w:pPr>
        <w:pStyle w:val="ListParagraph"/>
        <w:numPr>
          <w:ilvl w:val="0"/>
          <w:numId w:val="24"/>
        </w:numPr>
        <w:rPr>
          <w:rFonts w:cs="Arial"/>
          <w:sz w:val="24"/>
        </w:rPr>
      </w:pPr>
      <w:r w:rsidRPr="00F30C7D">
        <w:rPr>
          <w:rFonts w:cs="Arial"/>
          <w:sz w:val="24"/>
        </w:rPr>
        <w:t xml:space="preserve">all deaths where bereaved families and carers, or staff, have raised a significant concern about the </w:t>
      </w:r>
      <w:r w:rsidR="002B213B" w:rsidRPr="00F30C7D">
        <w:rPr>
          <w:rFonts w:cs="Arial"/>
          <w:sz w:val="24"/>
        </w:rPr>
        <w:t>quality-of-care</w:t>
      </w:r>
      <w:r w:rsidRPr="00F30C7D">
        <w:rPr>
          <w:rFonts w:cs="Arial"/>
          <w:sz w:val="24"/>
        </w:rPr>
        <w:t xml:space="preserve"> </w:t>
      </w:r>
      <w:r w:rsidR="002B213B" w:rsidRPr="00F30C7D">
        <w:rPr>
          <w:rFonts w:cs="Arial"/>
          <w:sz w:val="24"/>
        </w:rPr>
        <w:t>provision.</w:t>
      </w:r>
    </w:p>
    <w:p w14:paraId="010CBE28" w14:textId="3EA96545" w:rsidR="00E60CAF" w:rsidRPr="00F30C7D" w:rsidRDefault="00E60CAF" w:rsidP="008168F1">
      <w:pPr>
        <w:pStyle w:val="ListParagraph"/>
        <w:numPr>
          <w:ilvl w:val="0"/>
          <w:numId w:val="24"/>
        </w:numPr>
        <w:rPr>
          <w:rFonts w:cs="Arial"/>
          <w:sz w:val="24"/>
        </w:rPr>
      </w:pPr>
      <w:r w:rsidRPr="00F30C7D">
        <w:rPr>
          <w:rFonts w:cs="Arial"/>
          <w:sz w:val="24"/>
        </w:rPr>
        <w:t>all in-patient, out-</w:t>
      </w:r>
      <w:r w:rsidR="002B213B" w:rsidRPr="00F30C7D">
        <w:rPr>
          <w:rFonts w:cs="Arial"/>
          <w:sz w:val="24"/>
        </w:rPr>
        <w:t>patient,</w:t>
      </w:r>
      <w:r w:rsidRPr="00F30C7D">
        <w:rPr>
          <w:rFonts w:cs="Arial"/>
          <w:sz w:val="24"/>
        </w:rPr>
        <w:t xml:space="preserve"> and community patient deaths of those with learning disabilities</w:t>
      </w:r>
      <w:r w:rsidR="008155D0">
        <w:rPr>
          <w:rFonts w:cs="Arial"/>
          <w:sz w:val="24"/>
        </w:rPr>
        <w:t>.</w:t>
      </w:r>
    </w:p>
    <w:p w14:paraId="010CBE29" w14:textId="6AB50C65" w:rsidR="00E60CAF" w:rsidRPr="00F30C7D" w:rsidRDefault="00E60CAF" w:rsidP="008168F1">
      <w:pPr>
        <w:pStyle w:val="ListParagraph"/>
        <w:numPr>
          <w:ilvl w:val="0"/>
          <w:numId w:val="24"/>
        </w:numPr>
        <w:rPr>
          <w:rFonts w:cs="Arial"/>
          <w:sz w:val="24"/>
        </w:rPr>
      </w:pPr>
      <w:r w:rsidRPr="00F30C7D">
        <w:rPr>
          <w:rFonts w:cs="Arial"/>
          <w:sz w:val="24"/>
        </w:rPr>
        <w:t xml:space="preserve">all deaths in a service specialty, particular </w:t>
      </w:r>
      <w:r w:rsidR="002B213B" w:rsidRPr="00F30C7D">
        <w:rPr>
          <w:rFonts w:cs="Arial"/>
          <w:sz w:val="24"/>
        </w:rPr>
        <w:t>diagnosis,</w:t>
      </w:r>
      <w:r w:rsidRPr="00F30C7D">
        <w:rPr>
          <w:rFonts w:cs="Arial"/>
          <w:sz w:val="24"/>
        </w:rPr>
        <w:t xml:space="preserve"> or treatment group where an ‘alarm’ has been raised with the provider through whatever </w:t>
      </w:r>
      <w:r w:rsidR="008155D0" w:rsidRPr="00F30C7D">
        <w:rPr>
          <w:rFonts w:cs="Arial"/>
          <w:sz w:val="24"/>
        </w:rPr>
        <w:t>means.</w:t>
      </w:r>
    </w:p>
    <w:p w14:paraId="010CBE2A" w14:textId="35821BD0" w:rsidR="00E60CAF" w:rsidRPr="00F30C7D" w:rsidRDefault="00E60CAF" w:rsidP="008168F1">
      <w:pPr>
        <w:pStyle w:val="ListParagraph"/>
        <w:numPr>
          <w:ilvl w:val="0"/>
          <w:numId w:val="24"/>
        </w:numPr>
        <w:rPr>
          <w:rFonts w:cs="Arial"/>
          <w:sz w:val="24"/>
        </w:rPr>
      </w:pPr>
      <w:r w:rsidRPr="00F30C7D">
        <w:rPr>
          <w:rFonts w:cs="Arial"/>
          <w:sz w:val="24"/>
        </w:rPr>
        <w:t xml:space="preserve">all deaths in areas where people are not expected to die, for example in relevant elective </w:t>
      </w:r>
      <w:r w:rsidR="002B213B" w:rsidRPr="00F30C7D">
        <w:rPr>
          <w:rFonts w:cs="Arial"/>
          <w:sz w:val="24"/>
        </w:rPr>
        <w:t>procedures.</w:t>
      </w:r>
    </w:p>
    <w:p w14:paraId="010CBE2B" w14:textId="3619E5AE" w:rsidR="00E60CAF" w:rsidRPr="00F30C7D" w:rsidRDefault="00E60CAF" w:rsidP="008168F1">
      <w:pPr>
        <w:pStyle w:val="ListParagraph"/>
        <w:numPr>
          <w:ilvl w:val="0"/>
          <w:numId w:val="24"/>
        </w:numPr>
        <w:rPr>
          <w:rFonts w:cs="Arial"/>
          <w:sz w:val="24"/>
        </w:rPr>
      </w:pPr>
      <w:r w:rsidRPr="00F30C7D">
        <w:rPr>
          <w:rFonts w:cs="Arial"/>
          <w:sz w:val="24"/>
        </w:rPr>
        <w:t xml:space="preserve">deaths where learning will inform the provider’s existing or planned improvement work, for example if work is planned on improving sepsis care, relevant deaths should be reviewed, as determined by the provider. To maximise learning, such deaths could be reviewed </w:t>
      </w:r>
      <w:r w:rsidR="002B213B" w:rsidRPr="00F30C7D">
        <w:rPr>
          <w:rFonts w:cs="Arial"/>
          <w:sz w:val="24"/>
        </w:rPr>
        <w:t>thematically.</w:t>
      </w:r>
    </w:p>
    <w:p w14:paraId="74B9F25B" w14:textId="331CE684" w:rsidR="00F30C7D" w:rsidRDefault="00E60CAF" w:rsidP="008168F1">
      <w:pPr>
        <w:pStyle w:val="ListParagraph"/>
        <w:numPr>
          <w:ilvl w:val="0"/>
          <w:numId w:val="24"/>
        </w:numPr>
        <w:spacing w:before="0" w:after="0"/>
        <w:rPr>
          <w:rFonts w:cs="Arial"/>
          <w:sz w:val="24"/>
        </w:rPr>
      </w:pPr>
      <w:r w:rsidRPr="00F30C7D">
        <w:rPr>
          <w:rFonts w:cs="Arial"/>
          <w:sz w:val="24"/>
        </w:rPr>
        <w:t xml:space="preserve">a further sample of other deaths that do not fit the identified categories so that providers can take an overview of where learning and improvement is needed most overall. This does not have to be a random </w:t>
      </w:r>
      <w:r w:rsidR="002B213B" w:rsidRPr="00F30C7D">
        <w:rPr>
          <w:rFonts w:cs="Arial"/>
          <w:sz w:val="24"/>
        </w:rPr>
        <w:t>sample and</w:t>
      </w:r>
      <w:r w:rsidRPr="00F30C7D">
        <w:rPr>
          <w:rFonts w:cs="Arial"/>
          <w:sz w:val="24"/>
        </w:rPr>
        <w:t xml:space="preserve"> could use practical sampling strategies such as taking a selection of deaths from each weekday.</w:t>
      </w:r>
    </w:p>
    <w:p w14:paraId="21F225BE" w14:textId="039ED519" w:rsidR="00F30C7D" w:rsidRDefault="00A16BFA" w:rsidP="008168F1">
      <w:pPr>
        <w:pStyle w:val="ListParagraph"/>
        <w:numPr>
          <w:ilvl w:val="0"/>
          <w:numId w:val="24"/>
        </w:numPr>
        <w:spacing w:before="0" w:after="0"/>
        <w:rPr>
          <w:rFonts w:cs="Arial"/>
          <w:sz w:val="24"/>
        </w:rPr>
      </w:pPr>
      <w:r w:rsidRPr="00F30C7D">
        <w:rPr>
          <w:rFonts w:cs="Arial"/>
          <w:sz w:val="24"/>
        </w:rPr>
        <w:t>deaths meeting the criteria within the Serious Incident Framework</w:t>
      </w:r>
      <w:r w:rsidR="008155D0">
        <w:rPr>
          <w:rFonts w:cs="Arial"/>
          <w:sz w:val="24"/>
        </w:rPr>
        <w:t>.</w:t>
      </w:r>
      <w:r w:rsidRPr="00F30C7D">
        <w:rPr>
          <w:rFonts w:cs="Arial"/>
          <w:sz w:val="24"/>
        </w:rPr>
        <w:t xml:space="preserve"> </w:t>
      </w:r>
    </w:p>
    <w:p w14:paraId="4F5F46BA" w14:textId="77777777" w:rsidR="00F30C7D" w:rsidRDefault="00A16BFA" w:rsidP="008168F1">
      <w:pPr>
        <w:pStyle w:val="ListParagraph"/>
        <w:numPr>
          <w:ilvl w:val="0"/>
          <w:numId w:val="24"/>
        </w:numPr>
        <w:spacing w:before="0" w:after="0"/>
        <w:rPr>
          <w:rFonts w:cs="Arial"/>
          <w:sz w:val="24"/>
          <w:lang w:val="en"/>
        </w:rPr>
      </w:pPr>
      <w:r w:rsidRPr="00F30C7D">
        <w:rPr>
          <w:rFonts w:cs="Arial"/>
          <w:sz w:val="24"/>
          <w:lang w:val="en"/>
        </w:rPr>
        <w:t>child (under 18) death reviews should be undertaken in accordance with national</w:t>
      </w:r>
      <w:r w:rsidR="00F30C7D" w:rsidRPr="00F30C7D">
        <w:rPr>
          <w:rFonts w:cs="Arial"/>
          <w:sz w:val="24"/>
          <w:lang w:val="en"/>
        </w:rPr>
        <w:t xml:space="preserve"> </w:t>
      </w:r>
      <w:r w:rsidRPr="00F30C7D">
        <w:rPr>
          <w:rFonts w:cs="Arial"/>
          <w:sz w:val="24"/>
          <w:lang w:val="en"/>
        </w:rPr>
        <w:t xml:space="preserve">guidance, </w:t>
      </w:r>
      <w:r w:rsidRPr="00F30C7D">
        <w:rPr>
          <w:rStyle w:val="external"/>
          <w:rFonts w:cs="Arial"/>
          <w:sz w:val="24"/>
          <w:lang w:val="en"/>
        </w:rPr>
        <w:t>Working Together to Safeguard Children</w:t>
      </w:r>
      <w:r w:rsidRPr="00F30C7D">
        <w:rPr>
          <w:rFonts w:cs="Arial"/>
          <w:sz w:val="24"/>
          <w:lang w:val="en"/>
        </w:rPr>
        <w:t xml:space="preserve">. </w:t>
      </w:r>
    </w:p>
    <w:p w14:paraId="666A1F5A" w14:textId="7F61C910" w:rsidR="00A16BFA" w:rsidRPr="00F30C7D" w:rsidRDefault="00A16BFA" w:rsidP="008168F1">
      <w:pPr>
        <w:pStyle w:val="ListParagraph"/>
        <w:numPr>
          <w:ilvl w:val="0"/>
          <w:numId w:val="24"/>
        </w:numPr>
        <w:spacing w:before="0" w:after="0"/>
        <w:rPr>
          <w:rFonts w:cs="Arial"/>
          <w:sz w:val="24"/>
        </w:rPr>
      </w:pPr>
      <w:r w:rsidRPr="00F30C7D">
        <w:rPr>
          <w:rFonts w:cs="Arial"/>
          <w:sz w:val="24"/>
        </w:rPr>
        <w:t>maternity/perinatal deaths</w:t>
      </w:r>
      <w:r w:rsidR="008155D0">
        <w:rPr>
          <w:rFonts w:cs="Arial"/>
          <w:sz w:val="24"/>
        </w:rPr>
        <w:t>.</w:t>
      </w:r>
      <w:r w:rsidRPr="00F30C7D">
        <w:rPr>
          <w:rFonts w:cs="Arial"/>
          <w:sz w:val="24"/>
        </w:rPr>
        <w:t xml:space="preserve"> </w:t>
      </w:r>
    </w:p>
    <w:p w14:paraId="1041B496" w14:textId="0584F8C0" w:rsidR="00A16BFA" w:rsidRPr="00C2247C" w:rsidRDefault="00A16BFA" w:rsidP="008168F1">
      <w:pPr>
        <w:pStyle w:val="Bullet"/>
        <w:numPr>
          <w:ilvl w:val="0"/>
          <w:numId w:val="24"/>
        </w:numPr>
        <w:jc w:val="both"/>
        <w:rPr>
          <w:rFonts w:cs="Arial"/>
          <w:sz w:val="24"/>
        </w:rPr>
      </w:pPr>
      <w:r w:rsidRPr="00C2247C">
        <w:rPr>
          <w:rFonts w:cs="Arial"/>
          <w:sz w:val="24"/>
        </w:rPr>
        <w:lastRenderedPageBreak/>
        <w:t xml:space="preserve">any death of a patient detained under the Mental Health Act is reported to the Care Quality Commission without </w:t>
      </w:r>
      <w:r w:rsidR="008155D0" w:rsidRPr="00C2247C">
        <w:rPr>
          <w:rFonts w:cs="Arial"/>
          <w:sz w:val="24"/>
        </w:rPr>
        <w:t>delay.</w:t>
      </w:r>
    </w:p>
    <w:p w14:paraId="010CBE2D" w14:textId="42B7C40B" w:rsidR="00E60CAF" w:rsidRPr="00C2247C" w:rsidRDefault="00E60CAF" w:rsidP="00E60CAF">
      <w:pPr>
        <w:ind w:left="720"/>
        <w:rPr>
          <w:rFonts w:cs="Arial"/>
          <w:sz w:val="24"/>
        </w:rPr>
      </w:pPr>
      <w:r w:rsidRPr="00C2247C">
        <w:rPr>
          <w:rFonts w:cs="Arial"/>
          <w:sz w:val="24"/>
        </w:rPr>
        <w:t xml:space="preserve">The NQB guidance requires that all inpatient, </w:t>
      </w:r>
      <w:r w:rsidR="002B213B" w:rsidRPr="00C2247C">
        <w:rPr>
          <w:rFonts w:cs="Arial"/>
          <w:sz w:val="24"/>
        </w:rPr>
        <w:t>outpatient,</w:t>
      </w:r>
      <w:r w:rsidRPr="00C2247C">
        <w:rPr>
          <w:rFonts w:cs="Arial"/>
          <w:sz w:val="24"/>
        </w:rPr>
        <w:t xml:space="preserve"> and community patient deaths of people with severe mental illness (SMI) should be subject to case record review.</w:t>
      </w:r>
    </w:p>
    <w:p w14:paraId="010CBE2E" w14:textId="2B27DDE6" w:rsidR="00E60CAF" w:rsidRPr="00C2247C" w:rsidRDefault="00E60CAF" w:rsidP="00E60CAF">
      <w:pPr>
        <w:ind w:left="720"/>
        <w:rPr>
          <w:rFonts w:cs="Arial"/>
          <w:sz w:val="24"/>
        </w:rPr>
      </w:pPr>
      <w:r w:rsidRPr="00C2247C">
        <w:rPr>
          <w:rFonts w:cs="Arial"/>
          <w:sz w:val="24"/>
        </w:rPr>
        <w:t xml:space="preserve">In relation to this requirement, there is currently no single agreed definition of which conditions/criteria would constitute SMI. The term is generally restricted to the psychoses, including schizophrenia, bipolar disorder, delusional disorder, unipolar depressive </w:t>
      </w:r>
      <w:r w:rsidR="002B213B" w:rsidRPr="00C2247C">
        <w:rPr>
          <w:rFonts w:cs="Arial"/>
          <w:sz w:val="24"/>
        </w:rPr>
        <w:t>psychosis,</w:t>
      </w:r>
      <w:r w:rsidRPr="00C2247C">
        <w:rPr>
          <w:rFonts w:cs="Arial"/>
          <w:sz w:val="24"/>
        </w:rPr>
        <w:t xml:space="preserve"> and schizoaffective disorder. It is acknowledged that there is substantive criticism of this definition; personality disorders can be just as severe and disabling, as can </w:t>
      </w:r>
      <w:proofErr w:type="gramStart"/>
      <w:r w:rsidR="002B213B" w:rsidRPr="00C2247C">
        <w:rPr>
          <w:rFonts w:cs="Arial"/>
          <w:sz w:val="24"/>
        </w:rPr>
        <w:t>severe</w:t>
      </w:r>
      <w:proofErr w:type="gramEnd"/>
      <w:r w:rsidRPr="00C2247C">
        <w:rPr>
          <w:rFonts w:cs="Arial"/>
          <w:sz w:val="24"/>
        </w:rPr>
        <w:t xml:space="preserve"> forms of eating disorders, obsessive compulsive disorder, anxiety disorders and substance misuse problems.   </w:t>
      </w:r>
    </w:p>
    <w:p w14:paraId="010CBE34" w14:textId="77777777" w:rsidR="004B5DCA" w:rsidRPr="00C2247C" w:rsidRDefault="004B5DCA" w:rsidP="00BB27C5">
      <w:pPr>
        <w:tabs>
          <w:tab w:val="left" w:pos="0"/>
        </w:tabs>
        <w:spacing w:before="0" w:after="0"/>
        <w:jc w:val="left"/>
        <w:rPr>
          <w:rFonts w:cs="Arial"/>
          <w:b/>
          <w:sz w:val="24"/>
        </w:rPr>
      </w:pPr>
    </w:p>
    <w:tbl>
      <w:tblPr>
        <w:tblStyle w:val="TableGrid"/>
        <w:tblW w:w="0" w:type="auto"/>
        <w:jc w:val="center"/>
        <w:tblLook w:val="04A0" w:firstRow="1" w:lastRow="0" w:firstColumn="1" w:lastColumn="0" w:noHBand="0" w:noVBand="1"/>
      </w:tblPr>
      <w:tblGrid>
        <w:gridCol w:w="9009"/>
      </w:tblGrid>
      <w:tr w:rsidR="00E60CAF" w:rsidRPr="00C2247C" w14:paraId="010CBE53" w14:textId="77777777" w:rsidTr="00F30C7D">
        <w:trPr>
          <w:jc w:val="center"/>
        </w:trPr>
        <w:tc>
          <w:tcPr>
            <w:tcW w:w="9009" w:type="dxa"/>
          </w:tcPr>
          <w:p w14:paraId="010CBE35" w14:textId="77777777" w:rsidR="00E60CAF" w:rsidRPr="00C2247C" w:rsidRDefault="00E60CAF" w:rsidP="00F30C7D">
            <w:pPr>
              <w:spacing w:before="120"/>
              <w:jc w:val="left"/>
              <w:rPr>
                <w:rFonts w:cs="Arial"/>
                <w:sz w:val="24"/>
              </w:rPr>
            </w:pPr>
            <w:r w:rsidRPr="00C2247C">
              <w:rPr>
                <w:rFonts w:cs="Arial"/>
                <w:sz w:val="24"/>
              </w:rPr>
              <w:t>Where the Trust provides a wide range of clinical services across inpatient, community and other provider organisations this can lead to both a degree of confusion as to who is responsible for the reporting and investigating of a patient’s death and the risk of double reporting and investigation.</w:t>
            </w:r>
          </w:p>
          <w:p w14:paraId="010CBE36" w14:textId="6CBB3519" w:rsidR="00E60CAF" w:rsidRPr="00C2247C" w:rsidRDefault="00E60CAF" w:rsidP="00F30C7D">
            <w:pPr>
              <w:jc w:val="left"/>
              <w:rPr>
                <w:rFonts w:cs="Arial"/>
                <w:sz w:val="24"/>
              </w:rPr>
            </w:pPr>
            <w:r w:rsidRPr="00C2247C">
              <w:rPr>
                <w:rFonts w:cs="Arial"/>
                <w:sz w:val="24"/>
              </w:rPr>
              <w:t xml:space="preserve">To support staff in their </w:t>
            </w:r>
            <w:r w:rsidR="002B213B" w:rsidRPr="00C2247C">
              <w:rPr>
                <w:rFonts w:cs="Arial"/>
                <w:sz w:val="24"/>
              </w:rPr>
              <w:t>decision-making</w:t>
            </w:r>
            <w:r w:rsidRPr="00C2247C">
              <w:rPr>
                <w:rFonts w:cs="Arial"/>
                <w:sz w:val="24"/>
              </w:rPr>
              <w:t xml:space="preserve"> staff should refer to the following guidelines. </w:t>
            </w:r>
            <w:r w:rsidR="002B213B" w:rsidRPr="00C2247C">
              <w:rPr>
                <w:rFonts w:cs="Arial"/>
                <w:sz w:val="24"/>
              </w:rPr>
              <w:t>However,</w:t>
            </w:r>
            <w:r w:rsidRPr="00C2247C">
              <w:rPr>
                <w:rFonts w:cs="Arial"/>
                <w:sz w:val="24"/>
              </w:rPr>
              <w:t xml:space="preserve"> if there is any doubt staff should contact their line manager for advice.</w:t>
            </w:r>
          </w:p>
          <w:p w14:paraId="010CBE37" w14:textId="5919A564" w:rsidR="00E60CAF" w:rsidRPr="00C2247C" w:rsidRDefault="00E60CAF" w:rsidP="00F30C7D">
            <w:pPr>
              <w:ind w:left="310" w:hanging="284"/>
              <w:jc w:val="left"/>
              <w:rPr>
                <w:rFonts w:cs="Arial"/>
                <w:b/>
                <w:i/>
                <w:sz w:val="24"/>
              </w:rPr>
            </w:pPr>
            <w:r w:rsidRPr="00C2247C">
              <w:rPr>
                <w:rFonts w:cs="Arial"/>
                <w:b/>
                <w:i/>
                <w:sz w:val="24"/>
              </w:rPr>
              <w:t>A</w:t>
            </w:r>
            <w:r w:rsidRPr="00C2247C">
              <w:rPr>
                <w:rFonts w:cs="Arial"/>
                <w:b/>
                <w:i/>
                <w:sz w:val="24"/>
              </w:rPr>
              <w:tab/>
              <w:t xml:space="preserve">We are the main provider if at the time of </w:t>
            </w:r>
            <w:r w:rsidR="002B213B" w:rsidRPr="00C2247C">
              <w:rPr>
                <w:rFonts w:cs="Arial"/>
                <w:b/>
                <w:i/>
                <w:sz w:val="24"/>
              </w:rPr>
              <w:t>death,</w:t>
            </w:r>
            <w:r w:rsidRPr="00C2247C">
              <w:rPr>
                <w:rFonts w:cs="Arial"/>
                <w:b/>
                <w:i/>
                <w:sz w:val="24"/>
              </w:rPr>
              <w:t xml:space="preserve"> the patient was subject </w:t>
            </w:r>
            <w:r w:rsidR="004B0A83" w:rsidRPr="00C2247C">
              <w:rPr>
                <w:rFonts w:cs="Arial"/>
                <w:b/>
                <w:i/>
                <w:sz w:val="24"/>
              </w:rPr>
              <w:t xml:space="preserve">  </w:t>
            </w:r>
            <w:r w:rsidRPr="00C2247C">
              <w:rPr>
                <w:rFonts w:cs="Arial"/>
                <w:b/>
                <w:i/>
                <w:sz w:val="24"/>
              </w:rPr>
              <w:t>to:</w:t>
            </w:r>
          </w:p>
          <w:p w14:paraId="010CBE38" w14:textId="77777777" w:rsidR="00E60CAF" w:rsidRPr="00C2247C" w:rsidRDefault="00E60CAF" w:rsidP="008168F1">
            <w:pPr>
              <w:numPr>
                <w:ilvl w:val="0"/>
                <w:numId w:val="10"/>
              </w:numPr>
              <w:spacing w:before="60" w:after="60"/>
              <w:jc w:val="left"/>
              <w:rPr>
                <w:rFonts w:cs="Arial"/>
                <w:sz w:val="24"/>
              </w:rPr>
            </w:pPr>
            <w:r w:rsidRPr="00C2247C">
              <w:rPr>
                <w:rFonts w:cs="Arial"/>
                <w:sz w:val="24"/>
              </w:rPr>
              <w:t>An episode of inpatient care within our service.</w:t>
            </w:r>
          </w:p>
          <w:p w14:paraId="17601600" w14:textId="1BD3EA01" w:rsidR="00354049" w:rsidRPr="00354049" w:rsidRDefault="00354049" w:rsidP="008168F1">
            <w:pPr>
              <w:numPr>
                <w:ilvl w:val="0"/>
                <w:numId w:val="10"/>
              </w:numPr>
              <w:spacing w:before="60" w:after="60"/>
              <w:jc w:val="left"/>
              <w:rPr>
                <w:rFonts w:cs="Arial"/>
                <w:sz w:val="24"/>
              </w:rPr>
            </w:pPr>
            <w:r w:rsidRPr="00354049">
              <w:rPr>
                <w:sz w:val="24"/>
              </w:rPr>
              <w:t xml:space="preserve">An episode of community treatment due to identified mental health </w:t>
            </w:r>
            <w:r w:rsidR="002409CF" w:rsidRPr="00354049">
              <w:rPr>
                <w:sz w:val="24"/>
              </w:rPr>
              <w:t>needs.</w:t>
            </w:r>
          </w:p>
          <w:p w14:paraId="44CADD75" w14:textId="634AD484" w:rsidR="00354049" w:rsidRPr="00354049" w:rsidRDefault="00354049" w:rsidP="008168F1">
            <w:pPr>
              <w:numPr>
                <w:ilvl w:val="0"/>
                <w:numId w:val="10"/>
              </w:numPr>
              <w:spacing w:before="60" w:after="60"/>
              <w:jc w:val="left"/>
              <w:rPr>
                <w:rFonts w:cs="Arial"/>
                <w:sz w:val="24"/>
              </w:rPr>
            </w:pPr>
            <w:r w:rsidRPr="00354049">
              <w:rPr>
                <w:sz w:val="24"/>
              </w:rPr>
              <w:t xml:space="preserve">An episode of community treatment due to identified learning disability or substance misuse </w:t>
            </w:r>
            <w:r w:rsidR="002409CF" w:rsidRPr="00354049">
              <w:rPr>
                <w:sz w:val="24"/>
              </w:rPr>
              <w:t>needs.</w:t>
            </w:r>
            <w:r w:rsidRPr="00354049">
              <w:rPr>
                <w:sz w:val="24"/>
              </w:rPr>
              <w:t xml:space="preserve"> </w:t>
            </w:r>
          </w:p>
          <w:p w14:paraId="010CBE3A" w14:textId="67252743" w:rsidR="00E60CAF" w:rsidRPr="00C2247C" w:rsidRDefault="00E60CAF" w:rsidP="008168F1">
            <w:pPr>
              <w:numPr>
                <w:ilvl w:val="0"/>
                <w:numId w:val="10"/>
              </w:numPr>
              <w:spacing w:before="60" w:after="60"/>
              <w:jc w:val="left"/>
              <w:rPr>
                <w:rFonts w:cs="Arial"/>
                <w:sz w:val="24"/>
              </w:rPr>
            </w:pPr>
            <w:r w:rsidRPr="00C2247C">
              <w:rPr>
                <w:rFonts w:cs="Arial"/>
                <w:sz w:val="24"/>
              </w:rPr>
              <w:t>An episode of community treatment due to identified mental health, learning disability or substance misuse needs.</w:t>
            </w:r>
          </w:p>
          <w:p w14:paraId="010CBE3B" w14:textId="7FEEA93C" w:rsidR="00E60CAF" w:rsidRPr="00C2247C" w:rsidRDefault="00E60CAF" w:rsidP="008168F1">
            <w:pPr>
              <w:numPr>
                <w:ilvl w:val="0"/>
                <w:numId w:val="10"/>
              </w:numPr>
              <w:spacing w:before="60" w:after="60"/>
              <w:jc w:val="left"/>
              <w:rPr>
                <w:rFonts w:cs="Arial"/>
                <w:sz w:val="24"/>
              </w:rPr>
            </w:pPr>
            <w:r w:rsidRPr="00C2247C">
              <w:rPr>
                <w:rFonts w:cs="Arial"/>
                <w:sz w:val="24"/>
              </w:rPr>
              <w:t>A Community Treatment order.</w:t>
            </w:r>
          </w:p>
          <w:p w14:paraId="010CBE3C" w14:textId="01DF560A" w:rsidR="00E60CAF" w:rsidRPr="00C2247C" w:rsidRDefault="00E60CAF" w:rsidP="008168F1">
            <w:pPr>
              <w:numPr>
                <w:ilvl w:val="0"/>
                <w:numId w:val="10"/>
              </w:numPr>
              <w:spacing w:before="60" w:after="60"/>
              <w:jc w:val="left"/>
              <w:rPr>
                <w:rFonts w:cs="Arial"/>
                <w:sz w:val="24"/>
              </w:rPr>
            </w:pPr>
            <w:r w:rsidRPr="00C2247C">
              <w:rPr>
                <w:rFonts w:cs="Arial"/>
                <w:sz w:val="24"/>
              </w:rPr>
              <w:t>A conditional discharge.</w:t>
            </w:r>
          </w:p>
          <w:p w14:paraId="010CBE3D" w14:textId="77777777" w:rsidR="00E60CAF" w:rsidRPr="00C2247C" w:rsidRDefault="00E60CAF" w:rsidP="008168F1">
            <w:pPr>
              <w:numPr>
                <w:ilvl w:val="0"/>
                <w:numId w:val="10"/>
              </w:numPr>
              <w:spacing w:before="60" w:after="60"/>
              <w:jc w:val="left"/>
              <w:rPr>
                <w:rFonts w:cs="Arial"/>
                <w:sz w:val="24"/>
              </w:rPr>
            </w:pPr>
            <w:r w:rsidRPr="00C2247C">
              <w:rPr>
                <w:rFonts w:cs="Arial"/>
                <w:sz w:val="24"/>
              </w:rPr>
              <w:t>An inpatient episode or community treatment package within the 6 months prior to their death (Mental Health services only).</w:t>
            </w:r>
          </w:p>
          <w:p w14:paraId="010CBE3E" w14:textId="48C7AEA2" w:rsidR="00E60CAF" w:rsidRPr="00C2247C" w:rsidRDefault="00E60CAF" w:rsidP="008168F1">
            <w:pPr>
              <w:numPr>
                <w:ilvl w:val="0"/>
                <w:numId w:val="10"/>
              </w:numPr>
              <w:spacing w:before="60" w:after="60"/>
              <w:jc w:val="left"/>
              <w:rPr>
                <w:rFonts w:cs="Arial"/>
                <w:sz w:val="24"/>
              </w:rPr>
            </w:pPr>
            <w:r w:rsidRPr="00C2247C">
              <w:rPr>
                <w:rFonts w:cs="Arial"/>
                <w:sz w:val="24"/>
              </w:rPr>
              <w:t>Guardianship</w:t>
            </w:r>
            <w:r w:rsidR="002409CF">
              <w:rPr>
                <w:rFonts w:cs="Arial"/>
                <w:sz w:val="24"/>
              </w:rPr>
              <w:t>.</w:t>
            </w:r>
          </w:p>
          <w:p w14:paraId="010CBE3F" w14:textId="6FF47F31" w:rsidR="00E60CAF" w:rsidRPr="00C2247C" w:rsidRDefault="00E60CAF" w:rsidP="00F30C7D">
            <w:pPr>
              <w:ind w:left="310" w:hanging="284"/>
              <w:jc w:val="left"/>
              <w:rPr>
                <w:rFonts w:cs="Arial"/>
                <w:b/>
                <w:i/>
                <w:sz w:val="24"/>
              </w:rPr>
            </w:pPr>
            <w:r w:rsidRPr="00C2247C">
              <w:rPr>
                <w:rFonts w:cs="Arial"/>
                <w:b/>
                <w:i/>
                <w:sz w:val="24"/>
              </w:rPr>
              <w:t>B</w:t>
            </w:r>
            <w:r w:rsidRPr="00C2247C">
              <w:rPr>
                <w:rFonts w:cs="Arial"/>
                <w:b/>
                <w:i/>
                <w:sz w:val="24"/>
              </w:rPr>
              <w:tab/>
              <w:t>Patients who meet the above criteria but are inpatients within another health care provider or custodial establishment at the time of their death.</w:t>
            </w:r>
          </w:p>
          <w:p w14:paraId="010CBE40" w14:textId="2C820C55" w:rsidR="00E60CAF" w:rsidRPr="00C2247C" w:rsidRDefault="00E60CAF" w:rsidP="00F30C7D">
            <w:pPr>
              <w:jc w:val="left"/>
              <w:rPr>
                <w:rFonts w:cs="Arial"/>
                <w:sz w:val="24"/>
              </w:rPr>
            </w:pPr>
            <w:r w:rsidRPr="00C2247C">
              <w:rPr>
                <w:rFonts w:cs="Arial"/>
                <w:sz w:val="24"/>
              </w:rPr>
              <w:t xml:space="preserve">In these circumstances the death will be reported by the organisation under whose direct care the patient was at the time of their death. That organisation will also exercise the responsibilities under duty of candour.  </w:t>
            </w:r>
            <w:r w:rsidR="002B213B" w:rsidRPr="00C2247C">
              <w:rPr>
                <w:rFonts w:cs="Arial"/>
                <w:sz w:val="24"/>
              </w:rPr>
              <w:t>However,</w:t>
            </w:r>
            <w:r w:rsidRPr="00C2247C">
              <w:rPr>
                <w:rFonts w:cs="Arial"/>
                <w:sz w:val="24"/>
              </w:rPr>
              <w:t xml:space="preserve"> there will be a discussion </w:t>
            </w:r>
            <w:r w:rsidR="00776D86" w:rsidRPr="00354049">
              <w:rPr>
                <w:rFonts w:cs="Arial"/>
                <w:color w:val="000000" w:themeColor="text1"/>
                <w:sz w:val="24"/>
              </w:rPr>
              <w:t>between the service</w:t>
            </w:r>
            <w:r w:rsidR="00D3400C" w:rsidRPr="00354049">
              <w:rPr>
                <w:rFonts w:cs="Arial"/>
                <w:color w:val="000000" w:themeColor="text1"/>
                <w:sz w:val="24"/>
              </w:rPr>
              <w:t xml:space="preserve"> providers</w:t>
            </w:r>
            <w:r w:rsidR="00B82124" w:rsidRPr="00354049">
              <w:rPr>
                <w:rFonts w:cs="Arial"/>
                <w:color w:val="000000" w:themeColor="text1"/>
                <w:sz w:val="24"/>
              </w:rPr>
              <w:t xml:space="preserve"> </w:t>
            </w:r>
            <w:r w:rsidRPr="00C2247C">
              <w:rPr>
                <w:rFonts w:cs="Arial"/>
                <w:sz w:val="24"/>
              </w:rPr>
              <w:t xml:space="preserve">to agree </w:t>
            </w:r>
            <w:r w:rsidR="00776D86">
              <w:rPr>
                <w:rFonts w:cs="Arial"/>
                <w:sz w:val="24"/>
              </w:rPr>
              <w:t xml:space="preserve">the scope of the </w:t>
            </w:r>
            <w:r w:rsidRPr="00C2247C">
              <w:rPr>
                <w:rFonts w:cs="Arial"/>
                <w:sz w:val="24"/>
              </w:rPr>
              <w:t>investigation (this will be determined by the cause of death) and who the lead organisation will be.</w:t>
            </w:r>
            <w:r w:rsidR="00354049">
              <w:rPr>
                <w:rFonts w:cs="Arial"/>
                <w:sz w:val="24"/>
              </w:rPr>
              <w:t xml:space="preserve"> The Patient Safety Team should be included within these discussions to </w:t>
            </w:r>
            <w:r w:rsidR="00354049">
              <w:rPr>
                <w:rFonts w:cs="Arial"/>
                <w:sz w:val="24"/>
              </w:rPr>
              <w:lastRenderedPageBreak/>
              <w:t xml:space="preserve">ensure the </w:t>
            </w:r>
            <w:r w:rsidR="00825962">
              <w:rPr>
                <w:rFonts w:cs="Arial"/>
                <w:sz w:val="24"/>
              </w:rPr>
              <w:t xml:space="preserve">management and </w:t>
            </w:r>
            <w:r w:rsidR="00354049">
              <w:rPr>
                <w:rFonts w:cs="Arial"/>
                <w:sz w:val="24"/>
              </w:rPr>
              <w:t>governance of the review is agreed</w:t>
            </w:r>
            <w:r w:rsidR="00825962">
              <w:rPr>
                <w:rFonts w:cs="Arial"/>
                <w:sz w:val="24"/>
              </w:rPr>
              <w:t xml:space="preserve"> and in line with LYPFT requirements</w:t>
            </w:r>
            <w:r w:rsidR="00354049">
              <w:rPr>
                <w:rFonts w:cs="Arial"/>
                <w:sz w:val="24"/>
              </w:rPr>
              <w:t xml:space="preserve">. </w:t>
            </w:r>
          </w:p>
          <w:p w14:paraId="010CBE41" w14:textId="1FDCE262" w:rsidR="00E60CAF" w:rsidRPr="00C2247C" w:rsidRDefault="00E60CAF" w:rsidP="00F30C7D">
            <w:pPr>
              <w:ind w:left="310" w:hanging="310"/>
              <w:jc w:val="left"/>
              <w:rPr>
                <w:rFonts w:cs="Arial"/>
                <w:b/>
                <w:i/>
                <w:sz w:val="24"/>
              </w:rPr>
            </w:pPr>
            <w:r w:rsidRPr="00C2247C">
              <w:rPr>
                <w:rFonts w:cs="Arial"/>
                <w:b/>
                <w:i/>
                <w:sz w:val="24"/>
              </w:rPr>
              <w:t>C</w:t>
            </w:r>
            <w:r w:rsidRPr="00C2247C">
              <w:rPr>
                <w:rFonts w:cs="Arial"/>
                <w:b/>
                <w:i/>
                <w:sz w:val="24"/>
              </w:rPr>
              <w:tab/>
              <w:t>Services provided by the Trust where we are not classed as the main provider.</w:t>
            </w:r>
          </w:p>
          <w:p w14:paraId="010CBE42" w14:textId="77777777" w:rsidR="00E60CAF" w:rsidRPr="00C2247C" w:rsidRDefault="00E60CAF" w:rsidP="00F30C7D">
            <w:pPr>
              <w:jc w:val="left"/>
              <w:rPr>
                <w:rFonts w:cs="Arial"/>
                <w:sz w:val="24"/>
              </w:rPr>
            </w:pPr>
            <w:r w:rsidRPr="00C2247C">
              <w:rPr>
                <w:rFonts w:cs="Arial"/>
                <w:sz w:val="24"/>
              </w:rPr>
              <w:t>For the following services the Trust is only providing a small component of an overarching package of care and the lead provider is the patients GP.</w:t>
            </w:r>
          </w:p>
          <w:p w14:paraId="010CBE43" w14:textId="77777777" w:rsidR="00E60CAF" w:rsidRPr="00C2247C" w:rsidRDefault="00E60CAF" w:rsidP="008168F1">
            <w:pPr>
              <w:numPr>
                <w:ilvl w:val="0"/>
                <w:numId w:val="11"/>
              </w:numPr>
              <w:spacing w:before="60" w:after="60"/>
              <w:jc w:val="left"/>
              <w:rPr>
                <w:rFonts w:cs="Arial"/>
                <w:sz w:val="24"/>
              </w:rPr>
            </w:pPr>
            <w:r w:rsidRPr="00C2247C">
              <w:rPr>
                <w:rFonts w:cs="Arial"/>
                <w:sz w:val="24"/>
              </w:rPr>
              <w:t>Dietetics</w:t>
            </w:r>
          </w:p>
          <w:p w14:paraId="010CBE44" w14:textId="7D0FC39C" w:rsidR="00E60CAF" w:rsidRPr="00C2247C" w:rsidRDefault="00E60CAF" w:rsidP="008168F1">
            <w:pPr>
              <w:numPr>
                <w:ilvl w:val="0"/>
                <w:numId w:val="11"/>
              </w:numPr>
              <w:spacing w:before="60" w:after="60"/>
              <w:jc w:val="left"/>
              <w:rPr>
                <w:rFonts w:cs="Arial"/>
                <w:sz w:val="24"/>
              </w:rPr>
            </w:pPr>
            <w:r w:rsidRPr="00C2247C">
              <w:rPr>
                <w:rFonts w:cs="Arial"/>
                <w:sz w:val="24"/>
              </w:rPr>
              <w:t xml:space="preserve">The </w:t>
            </w:r>
            <w:r w:rsidR="00776D86" w:rsidRPr="00C2247C">
              <w:rPr>
                <w:rFonts w:cs="Arial"/>
                <w:sz w:val="24"/>
              </w:rPr>
              <w:t xml:space="preserve">Drug </w:t>
            </w:r>
            <w:r w:rsidR="00776D86">
              <w:rPr>
                <w:rFonts w:cs="Arial"/>
                <w:sz w:val="24"/>
              </w:rPr>
              <w:t>a</w:t>
            </w:r>
            <w:r w:rsidR="00776D86" w:rsidRPr="00C2247C">
              <w:rPr>
                <w:rFonts w:cs="Arial"/>
                <w:sz w:val="24"/>
              </w:rPr>
              <w:t>nd Alcohol Shared Care Services</w:t>
            </w:r>
          </w:p>
          <w:p w14:paraId="010CBE45" w14:textId="5DE6675B" w:rsidR="00E60CAF" w:rsidRPr="00C2247C" w:rsidRDefault="002F038E" w:rsidP="008168F1">
            <w:pPr>
              <w:numPr>
                <w:ilvl w:val="0"/>
                <w:numId w:val="11"/>
              </w:numPr>
              <w:spacing w:before="60" w:after="60"/>
              <w:jc w:val="left"/>
              <w:rPr>
                <w:rFonts w:cs="Arial"/>
                <w:sz w:val="24"/>
              </w:rPr>
            </w:pPr>
            <w:r w:rsidRPr="00C2247C">
              <w:rPr>
                <w:rFonts w:cs="Arial"/>
                <w:sz w:val="24"/>
              </w:rPr>
              <w:t xml:space="preserve">Care </w:t>
            </w:r>
            <w:r w:rsidR="002409CF">
              <w:rPr>
                <w:rFonts w:cs="Arial"/>
                <w:sz w:val="24"/>
              </w:rPr>
              <w:t>H</w:t>
            </w:r>
            <w:r w:rsidRPr="00C2247C">
              <w:rPr>
                <w:rFonts w:cs="Arial"/>
                <w:sz w:val="24"/>
              </w:rPr>
              <w:t>ome Team</w:t>
            </w:r>
          </w:p>
          <w:p w14:paraId="010CBE46" w14:textId="77E58F6F" w:rsidR="002F038E" w:rsidRPr="00C2247C" w:rsidRDefault="002F038E" w:rsidP="008168F1">
            <w:pPr>
              <w:numPr>
                <w:ilvl w:val="0"/>
                <w:numId w:val="11"/>
              </w:numPr>
              <w:spacing w:before="60" w:after="60"/>
              <w:jc w:val="left"/>
              <w:rPr>
                <w:rFonts w:cs="Arial"/>
                <w:sz w:val="24"/>
              </w:rPr>
            </w:pPr>
            <w:r w:rsidRPr="00C2247C">
              <w:rPr>
                <w:rFonts w:cs="Arial"/>
                <w:sz w:val="24"/>
              </w:rPr>
              <w:t>Memory Services Team</w:t>
            </w:r>
          </w:p>
          <w:p w14:paraId="010CBE47" w14:textId="1C652CF4" w:rsidR="00E60CAF" w:rsidRPr="00C2247C" w:rsidRDefault="00E60CAF" w:rsidP="008168F1">
            <w:pPr>
              <w:numPr>
                <w:ilvl w:val="0"/>
                <w:numId w:val="11"/>
              </w:numPr>
              <w:spacing w:before="60" w:after="60"/>
              <w:jc w:val="left"/>
              <w:rPr>
                <w:rFonts w:cs="Arial"/>
                <w:sz w:val="24"/>
              </w:rPr>
            </w:pPr>
            <w:r w:rsidRPr="00C2247C">
              <w:rPr>
                <w:rFonts w:cs="Arial"/>
                <w:sz w:val="24"/>
              </w:rPr>
              <w:t xml:space="preserve">Acute </w:t>
            </w:r>
            <w:r w:rsidR="00776D86">
              <w:rPr>
                <w:rFonts w:cs="Arial"/>
                <w:sz w:val="24"/>
              </w:rPr>
              <w:t>H</w:t>
            </w:r>
            <w:r w:rsidRPr="00C2247C">
              <w:rPr>
                <w:rFonts w:cs="Arial"/>
                <w:sz w:val="24"/>
              </w:rPr>
              <w:t xml:space="preserve">ospital </w:t>
            </w:r>
            <w:r w:rsidR="00776D86">
              <w:rPr>
                <w:rFonts w:cs="Arial"/>
                <w:sz w:val="24"/>
              </w:rPr>
              <w:t>L</w:t>
            </w:r>
            <w:r w:rsidRPr="00C2247C">
              <w:rPr>
                <w:rFonts w:cs="Arial"/>
                <w:sz w:val="24"/>
              </w:rPr>
              <w:t>iaison</w:t>
            </w:r>
            <w:r w:rsidR="00291504" w:rsidRPr="00C2247C">
              <w:rPr>
                <w:rFonts w:cs="Arial"/>
                <w:sz w:val="24"/>
              </w:rPr>
              <w:t xml:space="preserve"> (In reach services for in patients at LTHT)</w:t>
            </w:r>
          </w:p>
          <w:p w14:paraId="010CBE48" w14:textId="71BCDB43" w:rsidR="00E60CAF" w:rsidRPr="00C2247C" w:rsidRDefault="00E60CAF" w:rsidP="008168F1">
            <w:pPr>
              <w:numPr>
                <w:ilvl w:val="0"/>
                <w:numId w:val="11"/>
              </w:numPr>
              <w:spacing w:before="60" w:after="60"/>
              <w:jc w:val="left"/>
              <w:rPr>
                <w:rFonts w:cs="Arial"/>
                <w:sz w:val="24"/>
              </w:rPr>
            </w:pPr>
            <w:r w:rsidRPr="00C2247C">
              <w:rPr>
                <w:rFonts w:cs="Arial"/>
                <w:sz w:val="24"/>
              </w:rPr>
              <w:t xml:space="preserve">Community </w:t>
            </w:r>
            <w:r w:rsidR="00776D86">
              <w:rPr>
                <w:rFonts w:cs="Arial"/>
                <w:sz w:val="24"/>
              </w:rPr>
              <w:t>P</w:t>
            </w:r>
            <w:r w:rsidRPr="00C2247C">
              <w:rPr>
                <w:rFonts w:cs="Arial"/>
                <w:sz w:val="24"/>
              </w:rPr>
              <w:t>hysiotherapy</w:t>
            </w:r>
            <w:r w:rsidR="002F038E" w:rsidRPr="00C2247C">
              <w:rPr>
                <w:rFonts w:cs="Arial"/>
                <w:sz w:val="24"/>
              </w:rPr>
              <w:t>/Occupational Therapy</w:t>
            </w:r>
          </w:p>
          <w:p w14:paraId="010CBE49" w14:textId="77777777" w:rsidR="00E60CAF" w:rsidRPr="00C2247C" w:rsidRDefault="002F038E" w:rsidP="008168F1">
            <w:pPr>
              <w:numPr>
                <w:ilvl w:val="0"/>
                <w:numId w:val="11"/>
              </w:numPr>
              <w:spacing w:before="60" w:after="60"/>
              <w:jc w:val="left"/>
              <w:rPr>
                <w:rFonts w:cs="Arial"/>
                <w:sz w:val="24"/>
              </w:rPr>
            </w:pPr>
            <w:r w:rsidRPr="00C2247C">
              <w:rPr>
                <w:rFonts w:cs="Arial"/>
                <w:sz w:val="24"/>
              </w:rPr>
              <w:t>Palliative care Team</w:t>
            </w:r>
          </w:p>
          <w:p w14:paraId="010CBE4A" w14:textId="6944987D" w:rsidR="00291504" w:rsidRPr="00C2247C" w:rsidRDefault="00291504" w:rsidP="008168F1">
            <w:pPr>
              <w:numPr>
                <w:ilvl w:val="0"/>
                <w:numId w:val="11"/>
              </w:numPr>
              <w:spacing w:before="60" w:after="60"/>
              <w:jc w:val="left"/>
              <w:rPr>
                <w:rFonts w:cs="Arial"/>
                <w:i/>
                <w:sz w:val="24"/>
              </w:rPr>
            </w:pPr>
            <w:r w:rsidRPr="00C2247C">
              <w:rPr>
                <w:rFonts w:cs="Arial"/>
                <w:sz w:val="24"/>
              </w:rPr>
              <w:t xml:space="preserve">Acute Liaison </w:t>
            </w:r>
            <w:r w:rsidR="002409CF" w:rsidRPr="00C2247C">
              <w:rPr>
                <w:rFonts w:cs="Arial"/>
                <w:sz w:val="24"/>
              </w:rPr>
              <w:t>Psychiatry -</w:t>
            </w:r>
            <w:r w:rsidRPr="00C2247C">
              <w:rPr>
                <w:rFonts w:cs="Arial"/>
                <w:sz w:val="24"/>
              </w:rPr>
              <w:t xml:space="preserve"> </w:t>
            </w:r>
            <w:r w:rsidRPr="00C2247C">
              <w:rPr>
                <w:rFonts w:cs="Arial"/>
                <w:b/>
                <w:sz w:val="24"/>
              </w:rPr>
              <w:t xml:space="preserve">NB </w:t>
            </w:r>
            <w:r w:rsidRPr="00C2247C">
              <w:rPr>
                <w:rFonts w:cs="Arial"/>
                <w:i/>
                <w:sz w:val="24"/>
              </w:rPr>
              <w:t>LIMM should always review the care provided to a person seen by ALPS in the 6 months prior to death to determine if a further review is required.</w:t>
            </w:r>
          </w:p>
          <w:p w14:paraId="010CBE4C" w14:textId="25AADCDE" w:rsidR="00E60CAF" w:rsidRPr="00C2247C" w:rsidRDefault="00E60CAF" w:rsidP="00F30C7D">
            <w:pPr>
              <w:ind w:left="310" w:hanging="310"/>
              <w:jc w:val="left"/>
              <w:rPr>
                <w:rFonts w:cs="Arial"/>
                <w:b/>
                <w:i/>
                <w:sz w:val="24"/>
              </w:rPr>
            </w:pPr>
            <w:r w:rsidRPr="00C2247C">
              <w:rPr>
                <w:rFonts w:cs="Arial"/>
                <w:b/>
                <w:i/>
                <w:sz w:val="24"/>
              </w:rPr>
              <w:t>D</w:t>
            </w:r>
            <w:r w:rsidRPr="00C2247C">
              <w:rPr>
                <w:rFonts w:cs="Arial"/>
                <w:b/>
                <w:i/>
                <w:sz w:val="24"/>
              </w:rPr>
              <w:tab/>
              <w:t>Exception.</w:t>
            </w:r>
          </w:p>
          <w:p w14:paraId="010CBE4D" w14:textId="77777777" w:rsidR="00E60CAF" w:rsidRPr="00C2247C" w:rsidRDefault="00E60CAF" w:rsidP="00F30C7D">
            <w:pPr>
              <w:jc w:val="left"/>
              <w:rPr>
                <w:rFonts w:cs="Arial"/>
                <w:sz w:val="24"/>
              </w:rPr>
            </w:pPr>
            <w:r w:rsidRPr="00C2247C">
              <w:rPr>
                <w:rFonts w:cs="Arial"/>
                <w:sz w:val="24"/>
              </w:rPr>
              <w:t xml:space="preserve">In addition to the above, if any act or omission on the part of a member of Trust </w:t>
            </w:r>
            <w:r w:rsidR="00282566" w:rsidRPr="00C2247C">
              <w:rPr>
                <w:rFonts w:cs="Arial"/>
                <w:sz w:val="24"/>
              </w:rPr>
              <w:t>staff</w:t>
            </w:r>
            <w:r w:rsidRPr="00C2247C">
              <w:rPr>
                <w:rFonts w:cs="Arial"/>
                <w:sz w:val="24"/>
              </w:rPr>
              <w:t xml:space="preserve"> where we are not classed as the main provider is felt to have in any way contributed to the death of a patient, an investigation will be undertaken by the Trust.</w:t>
            </w:r>
          </w:p>
          <w:p w14:paraId="431EFF4D" w14:textId="77777777" w:rsidR="00776D86" w:rsidRPr="006C7FF8" w:rsidRDefault="00E60CAF" w:rsidP="00F30C7D">
            <w:pPr>
              <w:jc w:val="left"/>
              <w:rPr>
                <w:rFonts w:cs="Arial"/>
                <w:sz w:val="24"/>
              </w:rPr>
            </w:pPr>
            <w:r w:rsidRPr="006C7FF8">
              <w:rPr>
                <w:rFonts w:cs="Arial"/>
                <w:sz w:val="24"/>
              </w:rPr>
              <w:t xml:space="preserve">Where problems are identified relating to other NHS Trusts or organisations the Trust should make every effort to inform the relevant organisation so they can undertake any necessary investigation or improvement. </w:t>
            </w:r>
          </w:p>
          <w:p w14:paraId="010CBE4E" w14:textId="1A301EEC" w:rsidR="00E60CAF" w:rsidRPr="006C7FF8" w:rsidRDefault="00E60CAF" w:rsidP="00F30C7D">
            <w:pPr>
              <w:jc w:val="left"/>
              <w:rPr>
                <w:rFonts w:cs="Arial"/>
                <w:sz w:val="24"/>
              </w:rPr>
            </w:pPr>
            <w:r w:rsidRPr="006C7FF8">
              <w:rPr>
                <w:rFonts w:cs="Arial"/>
                <w:sz w:val="24"/>
              </w:rPr>
              <w:t xml:space="preserve">A culture of compassionate curiosity should be </w:t>
            </w:r>
            <w:r w:rsidR="002B213B" w:rsidRPr="006C7FF8">
              <w:rPr>
                <w:rFonts w:cs="Arial"/>
                <w:sz w:val="24"/>
              </w:rPr>
              <w:t>adopted,</w:t>
            </w:r>
            <w:r w:rsidRPr="006C7FF8">
              <w:rPr>
                <w:rFonts w:cs="Arial"/>
                <w:sz w:val="24"/>
              </w:rPr>
              <w:t xml:space="preserve"> and the following questions should be asked:</w:t>
            </w:r>
          </w:p>
          <w:p w14:paraId="010CBE4F" w14:textId="77777777" w:rsidR="00E60CAF" w:rsidRPr="006C7FF8" w:rsidRDefault="00E60CAF" w:rsidP="00F30C7D">
            <w:pPr>
              <w:ind w:left="709" w:hanging="283"/>
              <w:jc w:val="left"/>
              <w:rPr>
                <w:rFonts w:cs="Arial"/>
                <w:sz w:val="24"/>
              </w:rPr>
            </w:pPr>
            <w:r w:rsidRPr="006C7FF8">
              <w:rPr>
                <w:rFonts w:cs="Arial"/>
                <w:sz w:val="24"/>
              </w:rPr>
              <w:t>•</w:t>
            </w:r>
            <w:r w:rsidRPr="006C7FF8">
              <w:rPr>
                <w:rFonts w:cs="Arial"/>
                <w:sz w:val="24"/>
              </w:rPr>
              <w:tab/>
              <w:t>Which deaths can we review together?</w:t>
            </w:r>
          </w:p>
          <w:p w14:paraId="010CBE50" w14:textId="77777777" w:rsidR="00E60CAF" w:rsidRPr="006C7FF8" w:rsidRDefault="00E60CAF" w:rsidP="00F30C7D">
            <w:pPr>
              <w:ind w:left="709" w:hanging="283"/>
              <w:jc w:val="left"/>
              <w:rPr>
                <w:rFonts w:cs="Arial"/>
                <w:sz w:val="24"/>
              </w:rPr>
            </w:pPr>
            <w:r w:rsidRPr="006C7FF8">
              <w:rPr>
                <w:rFonts w:cs="Arial"/>
                <w:sz w:val="24"/>
              </w:rPr>
              <w:t>•</w:t>
            </w:r>
            <w:r w:rsidRPr="006C7FF8">
              <w:rPr>
                <w:rFonts w:cs="Arial"/>
                <w:sz w:val="24"/>
              </w:rPr>
              <w:tab/>
              <w:t>What could we have done better between us?</w:t>
            </w:r>
          </w:p>
          <w:p w14:paraId="010CBE51" w14:textId="77777777" w:rsidR="00E60CAF" w:rsidRPr="006C7FF8" w:rsidRDefault="00E60CAF" w:rsidP="00F30C7D">
            <w:pPr>
              <w:ind w:left="709" w:hanging="283"/>
              <w:jc w:val="left"/>
              <w:rPr>
                <w:rFonts w:cs="Arial"/>
                <w:sz w:val="24"/>
              </w:rPr>
            </w:pPr>
            <w:r w:rsidRPr="006C7FF8">
              <w:rPr>
                <w:rFonts w:cs="Arial"/>
                <w:sz w:val="24"/>
              </w:rPr>
              <w:t>•</w:t>
            </w:r>
            <w:r w:rsidRPr="006C7FF8">
              <w:rPr>
                <w:rFonts w:cs="Arial"/>
                <w:sz w:val="24"/>
              </w:rPr>
              <w:tab/>
              <w:t>Did we look at the care from a family and carers perspective?</w:t>
            </w:r>
          </w:p>
          <w:p w14:paraId="010CBE52" w14:textId="03F045E6" w:rsidR="00E60CAF" w:rsidRPr="00C2247C" w:rsidRDefault="00E60CAF" w:rsidP="00F30C7D">
            <w:pPr>
              <w:ind w:left="709" w:hanging="283"/>
              <w:jc w:val="left"/>
              <w:rPr>
                <w:rFonts w:cs="Arial"/>
                <w:sz w:val="24"/>
              </w:rPr>
            </w:pPr>
            <w:r w:rsidRPr="006C7FF8">
              <w:rPr>
                <w:rFonts w:cs="Arial"/>
                <w:sz w:val="24"/>
              </w:rPr>
              <w:t>•</w:t>
            </w:r>
            <w:r w:rsidRPr="006C7FF8">
              <w:rPr>
                <w:rFonts w:cs="Arial"/>
                <w:sz w:val="24"/>
              </w:rPr>
              <w:tab/>
              <w:t xml:space="preserve">How can we demonstrate that we have learnt and improved care, </w:t>
            </w:r>
            <w:r w:rsidR="002B213B" w:rsidRPr="006C7FF8">
              <w:rPr>
                <w:rFonts w:cs="Arial"/>
                <w:sz w:val="24"/>
              </w:rPr>
              <w:t>systems,</w:t>
            </w:r>
            <w:r w:rsidRPr="006C7FF8">
              <w:rPr>
                <w:rFonts w:cs="Arial"/>
                <w:sz w:val="24"/>
              </w:rPr>
              <w:t xml:space="preserve"> and processes?</w:t>
            </w:r>
          </w:p>
        </w:tc>
      </w:tr>
    </w:tbl>
    <w:p w14:paraId="2F966824" w14:textId="76F51368" w:rsidR="00101B70" w:rsidRPr="00C2247C" w:rsidRDefault="00101B70" w:rsidP="00E60CAF">
      <w:pPr>
        <w:ind w:left="720"/>
        <w:rPr>
          <w:rFonts w:cs="Arial"/>
          <w:b/>
          <w:bCs/>
          <w:sz w:val="24"/>
        </w:rPr>
      </w:pPr>
      <w:r w:rsidRPr="00C2247C">
        <w:rPr>
          <w:rFonts w:cs="Arial"/>
          <w:b/>
          <w:bCs/>
          <w:sz w:val="24"/>
        </w:rPr>
        <w:lastRenderedPageBreak/>
        <w:t>Local Guidance</w:t>
      </w:r>
    </w:p>
    <w:p w14:paraId="010CBE54" w14:textId="1E2E8D71" w:rsidR="00E60CAF" w:rsidRPr="00C2247C" w:rsidRDefault="00E60CAF" w:rsidP="00E60CAF">
      <w:pPr>
        <w:ind w:left="720"/>
        <w:rPr>
          <w:rFonts w:cs="Arial"/>
          <w:sz w:val="24"/>
        </w:rPr>
      </w:pPr>
      <w:r w:rsidRPr="00C2247C">
        <w:rPr>
          <w:rFonts w:cs="Arial"/>
          <w:sz w:val="24"/>
        </w:rPr>
        <w:t xml:space="preserve">In </w:t>
      </w:r>
      <w:r w:rsidR="002B213B" w:rsidRPr="00C2247C">
        <w:rPr>
          <w:rFonts w:cs="Arial"/>
          <w:sz w:val="24"/>
        </w:rPr>
        <w:t>addition,</w:t>
      </w:r>
      <w:r w:rsidRPr="00C2247C">
        <w:rPr>
          <w:rFonts w:cs="Arial"/>
          <w:sz w:val="24"/>
        </w:rPr>
        <w:t xml:space="preserve"> </w:t>
      </w:r>
      <w:r w:rsidR="00A16BFA" w:rsidRPr="00C2247C">
        <w:rPr>
          <w:rFonts w:cs="Arial"/>
          <w:sz w:val="24"/>
        </w:rPr>
        <w:t>the T</w:t>
      </w:r>
      <w:r w:rsidRPr="00C2247C">
        <w:rPr>
          <w:rFonts w:cs="Arial"/>
          <w:sz w:val="24"/>
        </w:rPr>
        <w:t>rust</w:t>
      </w:r>
      <w:r w:rsidR="00A16BFA" w:rsidRPr="00C2247C">
        <w:rPr>
          <w:rFonts w:cs="Arial"/>
          <w:sz w:val="24"/>
        </w:rPr>
        <w:t xml:space="preserve"> has</w:t>
      </w:r>
      <w:r w:rsidRPr="00C2247C">
        <w:rPr>
          <w:rFonts w:cs="Arial"/>
          <w:sz w:val="24"/>
        </w:rPr>
        <w:t xml:space="preserve"> identified a number of potential triggers for a </w:t>
      </w:r>
      <w:r w:rsidR="002409CF">
        <w:rPr>
          <w:rFonts w:cs="Arial"/>
          <w:sz w:val="24"/>
        </w:rPr>
        <w:t>r</w:t>
      </w:r>
      <w:r w:rsidR="002409CF" w:rsidRPr="00C2247C">
        <w:rPr>
          <w:rFonts w:cs="Arial"/>
          <w:sz w:val="24"/>
        </w:rPr>
        <w:t>eview or</w:t>
      </w:r>
      <w:r w:rsidR="00776D86">
        <w:rPr>
          <w:rFonts w:cs="Arial"/>
          <w:sz w:val="24"/>
        </w:rPr>
        <w:t xml:space="preserve"> i</w:t>
      </w:r>
      <w:r w:rsidRPr="00C2247C">
        <w:rPr>
          <w:rFonts w:cs="Arial"/>
          <w:sz w:val="24"/>
        </w:rPr>
        <w:t xml:space="preserve">nvestigation.  These include deaths: </w:t>
      </w:r>
    </w:p>
    <w:p w14:paraId="010CBE55" w14:textId="761A1F6D"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Where a Family / clinical staff / </w:t>
      </w:r>
      <w:r w:rsidR="006C7FF8">
        <w:rPr>
          <w:rFonts w:cs="Arial"/>
          <w:sz w:val="24"/>
        </w:rPr>
        <w:t xml:space="preserve">clinical governance </w:t>
      </w:r>
      <w:r w:rsidRPr="00C2247C">
        <w:rPr>
          <w:rFonts w:cs="Arial"/>
          <w:sz w:val="24"/>
        </w:rPr>
        <w:t xml:space="preserve">staff flag or raise a </w:t>
      </w:r>
      <w:r w:rsidR="002B213B" w:rsidRPr="00C2247C">
        <w:rPr>
          <w:rFonts w:cs="Arial"/>
          <w:sz w:val="24"/>
        </w:rPr>
        <w:t>concern.</w:t>
      </w:r>
    </w:p>
    <w:p w14:paraId="010CBE56" w14:textId="124ED4E8" w:rsidR="00E60CAF" w:rsidRPr="00C2247C" w:rsidRDefault="00E60CAF" w:rsidP="00E60CAF">
      <w:pPr>
        <w:ind w:left="993" w:hanging="284"/>
        <w:rPr>
          <w:rFonts w:cs="Arial"/>
          <w:sz w:val="24"/>
        </w:rPr>
      </w:pPr>
      <w:r w:rsidRPr="00C2247C">
        <w:rPr>
          <w:rFonts w:cs="Arial"/>
          <w:sz w:val="24"/>
        </w:rPr>
        <w:lastRenderedPageBreak/>
        <w:t>•</w:t>
      </w:r>
      <w:r w:rsidRPr="00C2247C">
        <w:rPr>
          <w:rFonts w:cs="Arial"/>
          <w:sz w:val="24"/>
        </w:rPr>
        <w:tab/>
        <w:t xml:space="preserve">Where medication with known risks such as Clozapine was a significant part of the treatment </w:t>
      </w:r>
      <w:r w:rsidR="002B213B" w:rsidRPr="00C2247C">
        <w:rPr>
          <w:rFonts w:cs="Arial"/>
          <w:sz w:val="24"/>
        </w:rPr>
        <w:t>regime.</w:t>
      </w:r>
      <w:r w:rsidRPr="00C2247C">
        <w:rPr>
          <w:rFonts w:cs="Arial"/>
          <w:sz w:val="24"/>
        </w:rPr>
        <w:t xml:space="preserve">  </w:t>
      </w:r>
    </w:p>
    <w:p w14:paraId="010CBE57" w14:textId="207F45BB"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From causes or in clinical areas where concerns had already been </w:t>
      </w:r>
      <w:r w:rsidR="002409CF" w:rsidRPr="00C2247C">
        <w:rPr>
          <w:rFonts w:cs="Arial"/>
          <w:sz w:val="24"/>
        </w:rPr>
        <w:t>flagged (</w:t>
      </w:r>
      <w:r w:rsidRPr="00C2247C">
        <w:rPr>
          <w:rFonts w:cs="Arial"/>
          <w:sz w:val="24"/>
        </w:rPr>
        <w:t>possibly at Trust Board level or via complaints or from data</w:t>
      </w:r>
      <w:r w:rsidR="002B213B" w:rsidRPr="00C2247C">
        <w:rPr>
          <w:rFonts w:cs="Arial"/>
          <w:sz w:val="24"/>
        </w:rPr>
        <w:t>).</w:t>
      </w:r>
      <w:r w:rsidRPr="00C2247C">
        <w:rPr>
          <w:rFonts w:cs="Arial"/>
          <w:sz w:val="24"/>
        </w:rPr>
        <w:t xml:space="preserve"> </w:t>
      </w:r>
    </w:p>
    <w:p w14:paraId="010CBE58" w14:textId="6089A29D"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Where </w:t>
      </w:r>
      <w:r w:rsidR="00776D86" w:rsidRPr="00C2247C">
        <w:rPr>
          <w:rFonts w:cs="Arial"/>
          <w:sz w:val="24"/>
        </w:rPr>
        <w:t>the</w:t>
      </w:r>
      <w:r w:rsidR="00776D86">
        <w:rPr>
          <w:rFonts w:cs="Arial"/>
          <w:sz w:val="24"/>
        </w:rPr>
        <w:t xml:space="preserve"> service user </w:t>
      </w:r>
      <w:r w:rsidRPr="00C2247C">
        <w:rPr>
          <w:rFonts w:cs="Arial"/>
          <w:sz w:val="24"/>
        </w:rPr>
        <w:t xml:space="preserve">had been subjected to a care intervention where death </w:t>
      </w:r>
      <w:r w:rsidR="00776D86" w:rsidRPr="00C2247C">
        <w:rPr>
          <w:rFonts w:cs="Arial"/>
          <w:sz w:val="24"/>
        </w:rPr>
        <w:t>would</w:t>
      </w:r>
      <w:r w:rsidR="00776D86">
        <w:rPr>
          <w:rFonts w:cs="Arial"/>
          <w:sz w:val="24"/>
        </w:rPr>
        <w:t xml:space="preserve"> not</w:t>
      </w:r>
      <w:r w:rsidR="00776D86" w:rsidRPr="00C2247C">
        <w:rPr>
          <w:rFonts w:cs="Arial"/>
          <w:sz w:val="24"/>
        </w:rPr>
        <w:t xml:space="preserve"> </w:t>
      </w:r>
      <w:r w:rsidRPr="00C2247C">
        <w:rPr>
          <w:rFonts w:cs="Arial"/>
          <w:sz w:val="24"/>
        </w:rPr>
        <w:t xml:space="preserve">have been an expected outcome </w:t>
      </w:r>
      <w:r w:rsidR="002B213B" w:rsidRPr="00C2247C">
        <w:rPr>
          <w:rFonts w:cs="Arial"/>
          <w:sz w:val="24"/>
        </w:rPr>
        <w:t>e.g.,</w:t>
      </w:r>
      <w:r w:rsidRPr="00C2247C">
        <w:rPr>
          <w:rFonts w:cs="Arial"/>
          <w:sz w:val="24"/>
        </w:rPr>
        <w:t xml:space="preserve"> ECT, rapid </w:t>
      </w:r>
      <w:r w:rsidR="002B213B" w:rsidRPr="00C2247C">
        <w:rPr>
          <w:rFonts w:cs="Arial"/>
          <w:sz w:val="24"/>
        </w:rPr>
        <w:t>tranquilisation.</w:t>
      </w:r>
      <w:r w:rsidRPr="00C2247C">
        <w:rPr>
          <w:rFonts w:cs="Arial"/>
          <w:sz w:val="24"/>
        </w:rPr>
        <w:t xml:space="preserve"> </w:t>
      </w:r>
    </w:p>
    <w:p w14:paraId="010CBE59" w14:textId="402FD57B" w:rsidR="00E60CAF" w:rsidRPr="00C2247C" w:rsidRDefault="00E60CAF" w:rsidP="00E60CAF">
      <w:pPr>
        <w:ind w:left="993" w:hanging="284"/>
        <w:rPr>
          <w:rFonts w:cs="Arial"/>
          <w:sz w:val="24"/>
        </w:rPr>
      </w:pPr>
      <w:r w:rsidRPr="00C2247C">
        <w:rPr>
          <w:rFonts w:cs="Arial"/>
          <w:sz w:val="24"/>
        </w:rPr>
        <w:t>•</w:t>
      </w:r>
      <w:r w:rsidRPr="00C2247C">
        <w:rPr>
          <w:rFonts w:cs="Arial"/>
          <w:sz w:val="24"/>
        </w:rPr>
        <w:tab/>
        <w:t>Where the service user had no active family or friends and so w</w:t>
      </w:r>
      <w:r w:rsidR="000628F3">
        <w:rPr>
          <w:rFonts w:cs="Arial"/>
          <w:sz w:val="24"/>
        </w:rPr>
        <w:t>as</w:t>
      </w:r>
      <w:r w:rsidRPr="00C2247C">
        <w:rPr>
          <w:rFonts w:cs="Arial"/>
          <w:sz w:val="24"/>
        </w:rPr>
        <w:t xml:space="preserve"> particularly isolated </w:t>
      </w:r>
      <w:r w:rsidR="002B213B" w:rsidRPr="00C2247C">
        <w:rPr>
          <w:rFonts w:cs="Arial"/>
          <w:sz w:val="24"/>
        </w:rPr>
        <w:t>e.g.,</w:t>
      </w:r>
      <w:r w:rsidRPr="00C2247C">
        <w:rPr>
          <w:rFonts w:cs="Arial"/>
          <w:sz w:val="24"/>
        </w:rPr>
        <w:t xml:space="preserve"> with no one independent to raise </w:t>
      </w:r>
      <w:r w:rsidR="002B213B" w:rsidRPr="00C2247C">
        <w:rPr>
          <w:rFonts w:cs="Arial"/>
          <w:sz w:val="24"/>
        </w:rPr>
        <w:t>concerns.</w:t>
      </w:r>
      <w:r w:rsidRPr="00C2247C">
        <w:rPr>
          <w:rFonts w:cs="Arial"/>
          <w:sz w:val="24"/>
        </w:rPr>
        <w:t xml:space="preserve"> </w:t>
      </w:r>
    </w:p>
    <w:p w14:paraId="010CBE5A" w14:textId="01826592"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where there had been known delays to treatment </w:t>
      </w:r>
      <w:r w:rsidR="002B213B" w:rsidRPr="00C2247C">
        <w:rPr>
          <w:rFonts w:cs="Arial"/>
          <w:sz w:val="24"/>
        </w:rPr>
        <w:t>e.g.,</w:t>
      </w:r>
      <w:r w:rsidRPr="00C2247C">
        <w:rPr>
          <w:rFonts w:cs="Arial"/>
          <w:sz w:val="24"/>
        </w:rPr>
        <w:t xml:space="preserve"> assessment had taken place or a GP referral made but care and treatment not provided, or where there was a gap in </w:t>
      </w:r>
      <w:r w:rsidR="002B213B" w:rsidRPr="00C2247C">
        <w:rPr>
          <w:rFonts w:cs="Arial"/>
          <w:sz w:val="24"/>
        </w:rPr>
        <w:t>services.</w:t>
      </w:r>
      <w:r w:rsidRPr="00C2247C">
        <w:rPr>
          <w:rFonts w:cs="Arial"/>
          <w:sz w:val="24"/>
        </w:rPr>
        <w:t xml:space="preserve"> </w:t>
      </w:r>
    </w:p>
    <w:p w14:paraId="010CBE5B" w14:textId="77777777"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Associated with known risk factors / correlations </w:t>
      </w:r>
    </w:p>
    <w:p w14:paraId="010CBE5C" w14:textId="77777777" w:rsidR="00E60CAF" w:rsidRPr="00C2247C" w:rsidRDefault="00E60CAF" w:rsidP="00E60CAF">
      <w:pPr>
        <w:ind w:firstLine="709"/>
        <w:rPr>
          <w:rFonts w:cs="Arial"/>
          <w:sz w:val="24"/>
        </w:rPr>
      </w:pPr>
      <w:r w:rsidRPr="00C2247C">
        <w:rPr>
          <w:rFonts w:cs="Arial"/>
          <w:sz w:val="24"/>
        </w:rPr>
        <w:t xml:space="preserve">Also: </w:t>
      </w:r>
    </w:p>
    <w:p w14:paraId="010CBE5D" w14:textId="66E142F7"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Particular causes of death </w:t>
      </w:r>
      <w:r w:rsidR="002B213B" w:rsidRPr="00C2247C">
        <w:rPr>
          <w:rFonts w:cs="Arial"/>
          <w:sz w:val="24"/>
        </w:rPr>
        <w:t>e.g.,</w:t>
      </w:r>
      <w:r w:rsidRPr="00C2247C">
        <w:rPr>
          <w:rFonts w:cs="Arial"/>
          <w:sz w:val="24"/>
        </w:rPr>
        <w:t xml:space="preserve"> </w:t>
      </w:r>
      <w:r w:rsidR="002B213B" w:rsidRPr="00C2247C">
        <w:rPr>
          <w:rFonts w:cs="Arial"/>
          <w:sz w:val="24"/>
        </w:rPr>
        <w:t>epilepsy.</w:t>
      </w:r>
      <w:r w:rsidRPr="00C2247C">
        <w:rPr>
          <w:rFonts w:cs="Arial"/>
          <w:sz w:val="24"/>
        </w:rPr>
        <w:t xml:space="preserve"> </w:t>
      </w:r>
    </w:p>
    <w:p w14:paraId="010CBE5E" w14:textId="6DC9A0A6"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Deaths in Distress which might </w:t>
      </w:r>
      <w:r w:rsidR="002B213B" w:rsidRPr="00C2247C">
        <w:rPr>
          <w:rFonts w:cs="Arial"/>
          <w:sz w:val="24"/>
        </w:rPr>
        <w:t>include</w:t>
      </w:r>
      <w:r w:rsidRPr="00C2247C">
        <w:rPr>
          <w:rFonts w:cs="Arial"/>
          <w:sz w:val="24"/>
        </w:rPr>
        <w:t xml:space="preserve"> drug and alcohol deaths, or deaths of people with an historic sex offence </w:t>
      </w:r>
      <w:r w:rsidR="002B213B" w:rsidRPr="00C2247C">
        <w:rPr>
          <w:rFonts w:cs="Arial"/>
          <w:sz w:val="24"/>
        </w:rPr>
        <w:t>e.g.,</w:t>
      </w:r>
      <w:r w:rsidRPr="00C2247C">
        <w:rPr>
          <w:rFonts w:cs="Arial"/>
          <w:sz w:val="24"/>
        </w:rPr>
        <w:t xml:space="preserve"> people who might not be in crisis but need support and from whose experience there may be learning from a thematic </w:t>
      </w:r>
      <w:r w:rsidR="002B213B" w:rsidRPr="00C2247C">
        <w:rPr>
          <w:rFonts w:cs="Arial"/>
          <w:sz w:val="24"/>
        </w:rPr>
        <w:t>review.</w:t>
      </w:r>
    </w:p>
    <w:p w14:paraId="010CBE5F" w14:textId="7200A174" w:rsidR="00E60CAF" w:rsidRPr="00C2247C" w:rsidRDefault="00E60CAF" w:rsidP="00E60CAF">
      <w:pPr>
        <w:ind w:left="993" w:hanging="284"/>
        <w:rPr>
          <w:rFonts w:cs="Arial"/>
          <w:sz w:val="24"/>
        </w:rPr>
      </w:pPr>
      <w:r w:rsidRPr="00C2247C">
        <w:rPr>
          <w:rFonts w:cs="Arial"/>
          <w:sz w:val="24"/>
        </w:rPr>
        <w:t>•</w:t>
      </w:r>
      <w:r w:rsidRPr="00C2247C">
        <w:rPr>
          <w:rFonts w:cs="Arial"/>
          <w:sz w:val="24"/>
        </w:rPr>
        <w:tab/>
        <w:t xml:space="preserve">Where a proactive initial assessment of a death has potentially identified that there was </w:t>
      </w:r>
      <w:r w:rsidR="00282566" w:rsidRPr="00C2247C">
        <w:rPr>
          <w:rFonts w:cs="Arial"/>
          <w:sz w:val="24"/>
        </w:rPr>
        <w:t>deterioration</w:t>
      </w:r>
      <w:r w:rsidRPr="00C2247C">
        <w:rPr>
          <w:rFonts w:cs="Arial"/>
          <w:sz w:val="24"/>
        </w:rPr>
        <w:t xml:space="preserve"> in the physical health of a service user which wasn’t responded to in a timely </w:t>
      </w:r>
      <w:r w:rsidR="002B213B" w:rsidRPr="00C2247C">
        <w:rPr>
          <w:rFonts w:cs="Arial"/>
          <w:sz w:val="24"/>
        </w:rPr>
        <w:t>manner.</w:t>
      </w:r>
      <w:r w:rsidRPr="00C2247C">
        <w:rPr>
          <w:rFonts w:cs="Arial"/>
          <w:sz w:val="24"/>
        </w:rPr>
        <w:t xml:space="preserve"> </w:t>
      </w:r>
    </w:p>
    <w:p w14:paraId="010CBE60" w14:textId="50559166" w:rsidR="00E60CAF" w:rsidRPr="00C2247C" w:rsidRDefault="00E60CAF" w:rsidP="00E60CAF">
      <w:pPr>
        <w:ind w:left="993" w:hanging="284"/>
        <w:rPr>
          <w:rFonts w:cs="Arial"/>
          <w:sz w:val="24"/>
        </w:rPr>
      </w:pPr>
      <w:r w:rsidRPr="00C2247C">
        <w:rPr>
          <w:rFonts w:cs="Arial"/>
          <w:sz w:val="24"/>
        </w:rPr>
        <w:t>•</w:t>
      </w:r>
      <w:r w:rsidRPr="00C2247C">
        <w:rPr>
          <w:rFonts w:cs="Arial"/>
          <w:sz w:val="24"/>
        </w:rPr>
        <w:tab/>
        <w:t>Random sampling.</w:t>
      </w:r>
    </w:p>
    <w:p w14:paraId="7585D84E" w14:textId="4DD70763" w:rsidR="00101B70" w:rsidRPr="00F30C7D" w:rsidRDefault="00101B70" w:rsidP="00F30C7D">
      <w:pPr>
        <w:ind w:firstLine="709"/>
        <w:rPr>
          <w:rFonts w:cs="Arial"/>
          <w:b/>
          <w:iCs/>
          <w:sz w:val="24"/>
        </w:rPr>
      </w:pPr>
      <w:r w:rsidRPr="00F30C7D">
        <w:rPr>
          <w:rFonts w:cs="Arial"/>
          <w:b/>
          <w:iCs/>
          <w:sz w:val="24"/>
        </w:rPr>
        <w:t>Additional reporting requirements</w:t>
      </w:r>
    </w:p>
    <w:p w14:paraId="58D6E9C3" w14:textId="0E8F044F" w:rsidR="00101B70" w:rsidRPr="00C2247C" w:rsidRDefault="00101B70" w:rsidP="00F30C7D">
      <w:pPr>
        <w:ind w:left="709"/>
        <w:rPr>
          <w:rFonts w:cs="Arial"/>
          <w:sz w:val="24"/>
        </w:rPr>
      </w:pPr>
      <w:r w:rsidRPr="00C2247C">
        <w:rPr>
          <w:rFonts w:cs="Arial"/>
          <w:sz w:val="24"/>
        </w:rPr>
        <w:t xml:space="preserve">There are occasions when the Trust is notified of the death of a former service user who was discharged from the Trust more than 6 months prior to their </w:t>
      </w:r>
      <w:r w:rsidR="00776D86" w:rsidRPr="00C2247C">
        <w:rPr>
          <w:rFonts w:cs="Arial"/>
          <w:sz w:val="24"/>
        </w:rPr>
        <w:t>death</w:t>
      </w:r>
      <w:r w:rsidR="00776D86">
        <w:rPr>
          <w:rFonts w:cs="Arial"/>
          <w:sz w:val="24"/>
        </w:rPr>
        <w:t>.</w:t>
      </w:r>
      <w:r w:rsidRPr="00C2247C">
        <w:rPr>
          <w:rFonts w:cs="Arial"/>
          <w:sz w:val="24"/>
        </w:rPr>
        <w:t xml:space="preserve"> This is usually in the form of a request for information from HM Coroner </w:t>
      </w:r>
      <w:r w:rsidR="00776D86">
        <w:rPr>
          <w:rFonts w:cs="Arial"/>
          <w:sz w:val="24"/>
        </w:rPr>
        <w:t>seeking</w:t>
      </w:r>
      <w:r w:rsidRPr="00C2247C">
        <w:rPr>
          <w:rFonts w:cs="Arial"/>
          <w:sz w:val="24"/>
        </w:rPr>
        <w:t xml:space="preserve"> statements regarding the care provided or other legal processes. This contact could be made direct to teams or via the Trust’s </w:t>
      </w:r>
      <w:r w:rsidR="0054655D">
        <w:rPr>
          <w:rFonts w:cs="Arial"/>
          <w:sz w:val="24"/>
        </w:rPr>
        <w:t xml:space="preserve">Clinical </w:t>
      </w:r>
      <w:r w:rsidR="000628F3">
        <w:rPr>
          <w:rFonts w:cs="Arial"/>
          <w:sz w:val="24"/>
        </w:rPr>
        <w:t xml:space="preserve">Governance </w:t>
      </w:r>
      <w:r w:rsidR="000628F3" w:rsidRPr="00C2247C">
        <w:rPr>
          <w:rFonts w:cs="Arial"/>
          <w:sz w:val="24"/>
        </w:rPr>
        <w:t>Team</w:t>
      </w:r>
      <w:r w:rsidR="0054655D">
        <w:rPr>
          <w:rFonts w:cs="Arial"/>
          <w:sz w:val="24"/>
        </w:rPr>
        <w:t xml:space="preserve"> (Inquests)</w:t>
      </w:r>
      <w:r w:rsidRPr="00C2247C">
        <w:rPr>
          <w:rFonts w:cs="Arial"/>
          <w:sz w:val="24"/>
        </w:rPr>
        <w:t xml:space="preserve">.  In these cases, an incident should be recorded on Datix stating the nature of the request and detailing the length of time since discharge. </w:t>
      </w:r>
      <w:r w:rsidR="0054655D">
        <w:rPr>
          <w:rFonts w:cs="Arial"/>
          <w:sz w:val="24"/>
        </w:rPr>
        <w:t xml:space="preserve">This record will be </w:t>
      </w:r>
      <w:r w:rsidRPr="00C2247C">
        <w:rPr>
          <w:rFonts w:cs="Arial"/>
          <w:sz w:val="24"/>
        </w:rPr>
        <w:t>use</w:t>
      </w:r>
      <w:r w:rsidR="0054655D">
        <w:rPr>
          <w:rFonts w:cs="Arial"/>
          <w:sz w:val="24"/>
        </w:rPr>
        <w:t>d</w:t>
      </w:r>
      <w:r w:rsidRPr="00C2247C">
        <w:rPr>
          <w:rFonts w:cs="Arial"/>
          <w:sz w:val="24"/>
        </w:rPr>
        <w:t xml:space="preserve"> to manage the requested information.  No Manager’s review will be required.  </w:t>
      </w:r>
    </w:p>
    <w:p w14:paraId="7BAC2B0F" w14:textId="77777777" w:rsidR="00101B70" w:rsidRPr="00C2247C" w:rsidRDefault="00101B70" w:rsidP="00F30C7D">
      <w:pPr>
        <w:ind w:left="720" w:hanging="11"/>
        <w:rPr>
          <w:rFonts w:cs="Arial"/>
          <w:sz w:val="24"/>
        </w:rPr>
      </w:pPr>
      <w:r w:rsidRPr="00C2247C">
        <w:rPr>
          <w:rFonts w:cs="Arial"/>
          <w:b/>
          <w:sz w:val="24"/>
        </w:rPr>
        <w:t>Liaison with other organisations</w:t>
      </w:r>
    </w:p>
    <w:p w14:paraId="27ABE3D9" w14:textId="77777777" w:rsidR="00A35984" w:rsidRPr="00C2247C" w:rsidRDefault="00A35984" w:rsidP="00A35984">
      <w:pPr>
        <w:ind w:left="709"/>
        <w:rPr>
          <w:rFonts w:cs="Arial"/>
          <w:sz w:val="24"/>
        </w:rPr>
      </w:pPr>
      <w:r w:rsidRPr="00C2247C">
        <w:rPr>
          <w:rFonts w:cs="Arial"/>
          <w:sz w:val="24"/>
        </w:rPr>
        <w:t xml:space="preserve">Where problems are identified relating to other NHS Trusts or organisations, </w:t>
      </w:r>
      <w:r>
        <w:rPr>
          <w:rFonts w:cs="Arial"/>
          <w:sz w:val="24"/>
        </w:rPr>
        <w:t>LYPFT</w:t>
      </w:r>
      <w:r w:rsidRPr="00C2247C">
        <w:rPr>
          <w:rFonts w:cs="Arial"/>
          <w:sz w:val="24"/>
        </w:rPr>
        <w:t xml:space="preserve"> should make every effort to inform the relevant organisation so they can undertake any necessary investigation or improvement. A culture of </w:t>
      </w:r>
      <w:r w:rsidRPr="00C2247C">
        <w:rPr>
          <w:rFonts w:cs="Arial"/>
          <w:sz w:val="24"/>
        </w:rPr>
        <w:lastRenderedPageBreak/>
        <w:t>compassionate curiosity should be adopted, and the following questions should be asked:</w:t>
      </w:r>
    </w:p>
    <w:p w14:paraId="0574B0F6" w14:textId="328C0206" w:rsidR="00101B70" w:rsidRPr="006C7FF8" w:rsidRDefault="00101B70" w:rsidP="00F30C7D">
      <w:pPr>
        <w:ind w:firstLine="709"/>
        <w:rPr>
          <w:rFonts w:cs="Arial"/>
          <w:sz w:val="24"/>
        </w:rPr>
      </w:pPr>
      <w:r w:rsidRPr="006C7FF8">
        <w:rPr>
          <w:rFonts w:cs="Arial"/>
          <w:sz w:val="24"/>
        </w:rPr>
        <w:t>Which deaths can we review together?</w:t>
      </w:r>
    </w:p>
    <w:p w14:paraId="68B59140" w14:textId="77777777" w:rsidR="00101B70" w:rsidRPr="006C7FF8" w:rsidRDefault="00101B70" w:rsidP="008168F1">
      <w:pPr>
        <w:numPr>
          <w:ilvl w:val="0"/>
          <w:numId w:val="11"/>
        </w:numPr>
        <w:ind w:left="1134"/>
        <w:rPr>
          <w:rFonts w:cs="Arial"/>
          <w:sz w:val="24"/>
        </w:rPr>
      </w:pPr>
      <w:r w:rsidRPr="006C7FF8">
        <w:rPr>
          <w:rFonts w:cs="Arial"/>
          <w:sz w:val="24"/>
        </w:rPr>
        <w:t>What could we have done better between us?</w:t>
      </w:r>
    </w:p>
    <w:p w14:paraId="189233D2" w14:textId="77777777" w:rsidR="00101B70" w:rsidRPr="006C7FF8" w:rsidRDefault="00101B70" w:rsidP="008168F1">
      <w:pPr>
        <w:numPr>
          <w:ilvl w:val="0"/>
          <w:numId w:val="11"/>
        </w:numPr>
        <w:ind w:left="1134"/>
        <w:rPr>
          <w:rFonts w:cs="Arial"/>
          <w:sz w:val="24"/>
        </w:rPr>
      </w:pPr>
      <w:r w:rsidRPr="006C7FF8">
        <w:rPr>
          <w:rFonts w:cs="Arial"/>
          <w:sz w:val="24"/>
        </w:rPr>
        <w:t>Did we look at the care from a family and carers perspective?</w:t>
      </w:r>
    </w:p>
    <w:p w14:paraId="3BDAC486" w14:textId="4B04A652" w:rsidR="00101B70" w:rsidRPr="006C7FF8" w:rsidRDefault="00101B70" w:rsidP="008168F1">
      <w:pPr>
        <w:numPr>
          <w:ilvl w:val="0"/>
          <w:numId w:val="11"/>
        </w:numPr>
        <w:ind w:left="1134"/>
        <w:rPr>
          <w:rFonts w:cs="Arial"/>
          <w:sz w:val="24"/>
        </w:rPr>
      </w:pPr>
      <w:r w:rsidRPr="006C7FF8">
        <w:rPr>
          <w:rFonts w:cs="Arial"/>
          <w:sz w:val="24"/>
        </w:rPr>
        <w:t xml:space="preserve">How can we demonstrate that we have learnt and improved care, </w:t>
      </w:r>
      <w:r w:rsidR="002B213B" w:rsidRPr="006C7FF8">
        <w:rPr>
          <w:rFonts w:cs="Arial"/>
          <w:sz w:val="24"/>
        </w:rPr>
        <w:t>systems,</w:t>
      </w:r>
      <w:r w:rsidRPr="006C7FF8">
        <w:rPr>
          <w:rFonts w:cs="Arial"/>
          <w:sz w:val="24"/>
        </w:rPr>
        <w:t xml:space="preserve"> and processes?</w:t>
      </w:r>
    </w:p>
    <w:p w14:paraId="15F1A4DB" w14:textId="77777777" w:rsidR="00101B70" w:rsidRPr="00C2247C" w:rsidRDefault="00101B70" w:rsidP="00F30C7D">
      <w:pPr>
        <w:spacing w:after="280"/>
        <w:ind w:left="720"/>
        <w:rPr>
          <w:rFonts w:cs="Arial"/>
          <w:sz w:val="24"/>
        </w:rPr>
      </w:pPr>
      <w:r w:rsidRPr="00C2247C">
        <w:rPr>
          <w:rFonts w:cs="Arial"/>
          <w:sz w:val="24"/>
        </w:rPr>
        <w:t xml:space="preserve">If the Trust receives requests from other organisations to review the care provided to people who are its current or past patients but who were not under its direct care at time of death, the Trust will review the care provided on the clinical records in the first instance to establish our involvement.  Information will be shared with partners if the death is outside the Trust’s scope. Where the death meets our reporting criteria the manager will ensure the death is reported on Datix and the normal process followed. </w:t>
      </w:r>
    </w:p>
    <w:p w14:paraId="430AED73" w14:textId="77777777" w:rsidR="000675FF" w:rsidRPr="00C2247C" w:rsidRDefault="000675FF" w:rsidP="00BB27C5">
      <w:pPr>
        <w:tabs>
          <w:tab w:val="left" w:pos="0"/>
        </w:tabs>
        <w:spacing w:before="0" w:after="0"/>
        <w:jc w:val="left"/>
        <w:rPr>
          <w:rFonts w:cs="Arial"/>
          <w:sz w:val="24"/>
        </w:rPr>
      </w:pPr>
    </w:p>
    <w:p w14:paraId="0D0F6331" w14:textId="396EDA47" w:rsidR="000675FF" w:rsidRPr="00C2247C" w:rsidRDefault="00C2247C" w:rsidP="00BB27C5">
      <w:pPr>
        <w:tabs>
          <w:tab w:val="left" w:pos="0"/>
        </w:tabs>
        <w:spacing w:before="0" w:after="0"/>
        <w:jc w:val="left"/>
        <w:rPr>
          <w:rFonts w:cs="Arial"/>
          <w:b/>
          <w:bCs/>
          <w:sz w:val="24"/>
        </w:rPr>
      </w:pPr>
      <w:r w:rsidRPr="00C2247C">
        <w:rPr>
          <w:rFonts w:cs="Arial"/>
          <w:b/>
          <w:bCs/>
          <w:sz w:val="24"/>
        </w:rPr>
        <w:t>1.7.5</w:t>
      </w:r>
      <w:r w:rsidRPr="00C2247C">
        <w:rPr>
          <w:rFonts w:cs="Arial"/>
          <w:b/>
          <w:bCs/>
          <w:sz w:val="24"/>
        </w:rPr>
        <w:tab/>
      </w:r>
      <w:r w:rsidR="002353EF" w:rsidRPr="00C2247C">
        <w:rPr>
          <w:rFonts w:cs="Arial"/>
          <w:b/>
          <w:bCs/>
          <w:sz w:val="24"/>
        </w:rPr>
        <w:t>Levels</w:t>
      </w:r>
      <w:r w:rsidR="000675FF" w:rsidRPr="00C2247C">
        <w:rPr>
          <w:rFonts w:cs="Arial"/>
          <w:b/>
          <w:bCs/>
          <w:sz w:val="24"/>
        </w:rPr>
        <w:t xml:space="preserve"> of Review </w:t>
      </w:r>
    </w:p>
    <w:p w14:paraId="62593B97" w14:textId="144FF264" w:rsidR="002353EF" w:rsidRPr="00C2247C" w:rsidRDefault="002353EF" w:rsidP="00BB27C5">
      <w:pPr>
        <w:tabs>
          <w:tab w:val="left" w:pos="0"/>
        </w:tabs>
        <w:spacing w:before="0" w:after="0"/>
        <w:jc w:val="left"/>
        <w:rPr>
          <w:rFonts w:cs="Arial"/>
          <w:b/>
          <w:bCs/>
          <w:sz w:val="24"/>
        </w:rPr>
      </w:pPr>
    </w:p>
    <w:p w14:paraId="5A129455" w14:textId="4BBC6D8A" w:rsidR="002353EF" w:rsidRPr="00F30C7D" w:rsidRDefault="002353EF" w:rsidP="00BB27C5">
      <w:pPr>
        <w:tabs>
          <w:tab w:val="left" w:pos="0"/>
        </w:tabs>
        <w:spacing w:before="0" w:after="0"/>
        <w:jc w:val="left"/>
        <w:rPr>
          <w:rFonts w:cs="Arial"/>
          <w:b/>
          <w:bCs/>
          <w:sz w:val="24"/>
        </w:rPr>
      </w:pPr>
      <w:r w:rsidRPr="00C2247C">
        <w:rPr>
          <w:rFonts w:cs="Arial"/>
          <w:b/>
          <w:bCs/>
          <w:sz w:val="24"/>
        </w:rPr>
        <w:tab/>
      </w:r>
      <w:r w:rsidRPr="00F30C7D">
        <w:rPr>
          <w:rFonts w:cs="Arial"/>
          <w:b/>
          <w:bCs/>
          <w:sz w:val="24"/>
        </w:rPr>
        <w:t>Death Certification – Role of Medical Examiner</w:t>
      </w:r>
    </w:p>
    <w:p w14:paraId="292E0155" w14:textId="77777777" w:rsidR="00F5359C" w:rsidRPr="00C2247C" w:rsidRDefault="002353EF" w:rsidP="002353EF">
      <w:pPr>
        <w:ind w:left="720"/>
        <w:rPr>
          <w:rFonts w:cs="Arial"/>
          <w:sz w:val="24"/>
        </w:rPr>
      </w:pPr>
      <w:r w:rsidRPr="00825962">
        <w:rPr>
          <w:rFonts w:cs="Arial"/>
          <w:sz w:val="24"/>
        </w:rPr>
        <w:t>If</w:t>
      </w:r>
      <w:r w:rsidRPr="00C2247C">
        <w:rPr>
          <w:rFonts w:cs="Arial"/>
          <w:b/>
          <w:bCs/>
          <w:sz w:val="24"/>
        </w:rPr>
        <w:t xml:space="preserve"> </w:t>
      </w:r>
      <w:r w:rsidRPr="00C2247C">
        <w:rPr>
          <w:rFonts w:cs="Arial"/>
          <w:sz w:val="24"/>
        </w:rPr>
        <w:t xml:space="preserve">the death has been certified by a doctor as a natural cause and the death has not been reported to the coroner, and patient did not die whilst under MHA at time of death, the case notes should be passed to the Medical Examiner for review. </w:t>
      </w:r>
    </w:p>
    <w:p w14:paraId="0BA9A680" w14:textId="38DAEC33" w:rsidR="00F5359C" w:rsidRPr="00C2247C" w:rsidRDefault="00F5359C" w:rsidP="00F5359C">
      <w:pPr>
        <w:shd w:val="clear" w:color="auto" w:fill="FFFFFF"/>
        <w:spacing w:before="0" w:after="225"/>
        <w:ind w:left="720"/>
        <w:jc w:val="left"/>
        <w:textAlignment w:val="baseline"/>
        <w:rPr>
          <w:rFonts w:cs="Arial"/>
          <w:color w:val="202A30"/>
          <w:sz w:val="24"/>
        </w:rPr>
      </w:pPr>
      <w:r w:rsidRPr="00C2247C">
        <w:rPr>
          <w:rFonts w:cs="Arial"/>
          <w:color w:val="202A30"/>
          <w:sz w:val="24"/>
        </w:rPr>
        <w:t xml:space="preserve">Medical examiner offices in England are based at acute trusts (and a small number of specialist trusts). </w:t>
      </w:r>
    </w:p>
    <w:p w14:paraId="06652D95" w14:textId="2A71A46F" w:rsidR="00F5359C" w:rsidRPr="00C2247C" w:rsidRDefault="00F5359C" w:rsidP="00F5359C">
      <w:pPr>
        <w:shd w:val="clear" w:color="auto" w:fill="FFFFFF"/>
        <w:spacing w:before="0" w:after="225"/>
        <w:ind w:firstLine="720"/>
        <w:jc w:val="left"/>
        <w:textAlignment w:val="baseline"/>
        <w:rPr>
          <w:rFonts w:cs="Arial"/>
          <w:color w:val="202A30"/>
          <w:sz w:val="24"/>
        </w:rPr>
      </w:pPr>
      <w:r w:rsidRPr="00C2247C">
        <w:rPr>
          <w:rFonts w:cs="Arial"/>
          <w:color w:val="202A30"/>
          <w:sz w:val="24"/>
        </w:rPr>
        <w:t>The role is to examine deaths, to:</w:t>
      </w:r>
    </w:p>
    <w:p w14:paraId="72925FA1" w14:textId="743B30FD" w:rsidR="00F5359C" w:rsidRPr="00C2247C" w:rsidRDefault="00F5359C" w:rsidP="008168F1">
      <w:pPr>
        <w:numPr>
          <w:ilvl w:val="0"/>
          <w:numId w:val="16"/>
        </w:numPr>
        <w:shd w:val="clear" w:color="auto" w:fill="FFFFFF"/>
        <w:spacing w:before="0" w:after="0"/>
        <w:ind w:left="1005"/>
        <w:jc w:val="left"/>
        <w:textAlignment w:val="baseline"/>
        <w:rPr>
          <w:rFonts w:cs="Arial"/>
          <w:color w:val="202A30"/>
          <w:sz w:val="24"/>
        </w:rPr>
      </w:pPr>
      <w:r w:rsidRPr="00C2247C">
        <w:rPr>
          <w:rFonts w:cs="Arial"/>
          <w:color w:val="202A30"/>
          <w:sz w:val="24"/>
        </w:rPr>
        <w:t xml:space="preserve">agree the proposed cause of death and the overall accuracy of the medical certificate of cause of death (MCCD) with the doctor completing </w:t>
      </w:r>
      <w:r w:rsidR="000628F3" w:rsidRPr="00C2247C">
        <w:rPr>
          <w:rFonts w:cs="Arial"/>
          <w:color w:val="202A30"/>
          <w:sz w:val="24"/>
        </w:rPr>
        <w:t>it.</w:t>
      </w:r>
    </w:p>
    <w:p w14:paraId="746B8DA9" w14:textId="5E346666" w:rsidR="00F5359C" w:rsidRPr="00C2247C" w:rsidRDefault="00F5359C" w:rsidP="008168F1">
      <w:pPr>
        <w:numPr>
          <w:ilvl w:val="0"/>
          <w:numId w:val="16"/>
        </w:numPr>
        <w:shd w:val="clear" w:color="auto" w:fill="FFFFFF"/>
        <w:spacing w:before="0" w:after="0"/>
        <w:ind w:left="1005"/>
        <w:jc w:val="left"/>
        <w:textAlignment w:val="baseline"/>
        <w:rPr>
          <w:rFonts w:cs="Arial"/>
          <w:color w:val="202A30"/>
          <w:sz w:val="24"/>
        </w:rPr>
      </w:pPr>
      <w:r w:rsidRPr="00C2247C">
        <w:rPr>
          <w:rFonts w:cs="Arial"/>
          <w:color w:val="202A30"/>
          <w:sz w:val="24"/>
        </w:rPr>
        <w:t xml:space="preserve">discuss the cause of death with bereaved people and establish if they have questions or any concerns with care before </w:t>
      </w:r>
      <w:r w:rsidR="000628F3" w:rsidRPr="00C2247C">
        <w:rPr>
          <w:rFonts w:cs="Arial"/>
          <w:color w:val="202A30"/>
          <w:sz w:val="24"/>
        </w:rPr>
        <w:t>death.</w:t>
      </w:r>
    </w:p>
    <w:p w14:paraId="5D267511" w14:textId="1B494DD2" w:rsidR="00F5359C" w:rsidRPr="00C2247C" w:rsidRDefault="00F5359C" w:rsidP="008168F1">
      <w:pPr>
        <w:numPr>
          <w:ilvl w:val="0"/>
          <w:numId w:val="16"/>
        </w:numPr>
        <w:shd w:val="clear" w:color="auto" w:fill="FFFFFF"/>
        <w:spacing w:before="0" w:after="0"/>
        <w:ind w:left="1005"/>
        <w:jc w:val="left"/>
        <w:textAlignment w:val="baseline"/>
        <w:rPr>
          <w:rFonts w:cs="Arial"/>
          <w:color w:val="202A30"/>
          <w:sz w:val="24"/>
        </w:rPr>
      </w:pPr>
      <w:r w:rsidRPr="00C2247C">
        <w:rPr>
          <w:rFonts w:cs="Arial"/>
          <w:color w:val="202A30"/>
          <w:sz w:val="24"/>
        </w:rPr>
        <w:t>act as a medical advice resource for the local coroner</w:t>
      </w:r>
      <w:r w:rsidR="000628F3">
        <w:rPr>
          <w:rFonts w:cs="Arial"/>
          <w:color w:val="202A30"/>
          <w:sz w:val="24"/>
        </w:rPr>
        <w:t>.</w:t>
      </w:r>
    </w:p>
    <w:p w14:paraId="276603F0" w14:textId="056BAB79" w:rsidR="00F5359C" w:rsidRPr="00C2247C" w:rsidRDefault="00F5359C" w:rsidP="008168F1">
      <w:pPr>
        <w:numPr>
          <w:ilvl w:val="0"/>
          <w:numId w:val="16"/>
        </w:numPr>
        <w:shd w:val="clear" w:color="auto" w:fill="FFFFFF"/>
        <w:spacing w:before="0" w:after="0"/>
        <w:ind w:left="1005"/>
        <w:jc w:val="left"/>
        <w:textAlignment w:val="baseline"/>
        <w:rPr>
          <w:rFonts w:cs="Arial"/>
          <w:color w:val="202A30"/>
          <w:sz w:val="24"/>
        </w:rPr>
      </w:pPr>
      <w:r w:rsidRPr="00C2247C">
        <w:rPr>
          <w:rFonts w:cs="Arial"/>
          <w:color w:val="202A30"/>
          <w:sz w:val="24"/>
        </w:rPr>
        <w:t>identify cases for further review under local mortality arrangements and</w:t>
      </w:r>
      <w:r w:rsidR="000628F3">
        <w:rPr>
          <w:rFonts w:cs="Arial"/>
          <w:color w:val="202A30"/>
          <w:sz w:val="24"/>
        </w:rPr>
        <w:t xml:space="preserve"> </w:t>
      </w:r>
      <w:r w:rsidRPr="00C2247C">
        <w:rPr>
          <w:rFonts w:cs="Arial"/>
          <w:color w:val="202A30"/>
          <w:sz w:val="24"/>
        </w:rPr>
        <w:t>contribute to other clinical governance processes.</w:t>
      </w:r>
    </w:p>
    <w:p w14:paraId="010CBE6A" w14:textId="60DC7715" w:rsidR="00102D88" w:rsidRPr="00C2247C" w:rsidRDefault="00102D88" w:rsidP="004E168D">
      <w:pPr>
        <w:rPr>
          <w:rFonts w:cs="Arial"/>
          <w:b/>
          <w:sz w:val="24"/>
        </w:rPr>
      </w:pPr>
      <w:r w:rsidRPr="00C2247C">
        <w:rPr>
          <w:rFonts w:cs="Arial"/>
          <w:sz w:val="24"/>
        </w:rPr>
        <w:tab/>
      </w:r>
      <w:r w:rsidR="000675FF" w:rsidRPr="00C2247C">
        <w:rPr>
          <w:rFonts w:cs="Arial"/>
          <w:b/>
          <w:sz w:val="24"/>
        </w:rPr>
        <w:t>Fact Find</w:t>
      </w:r>
      <w:r w:rsidRPr="00C2247C">
        <w:rPr>
          <w:rFonts w:cs="Arial"/>
          <w:b/>
          <w:sz w:val="24"/>
        </w:rPr>
        <w:t xml:space="preserve"> report</w:t>
      </w:r>
    </w:p>
    <w:p w14:paraId="010CBE6B" w14:textId="504B7E5F" w:rsidR="00AC7C46" w:rsidRDefault="0026543F" w:rsidP="009E2701">
      <w:pPr>
        <w:ind w:left="720"/>
        <w:rPr>
          <w:rFonts w:cs="Arial"/>
          <w:sz w:val="24"/>
        </w:rPr>
      </w:pPr>
      <w:r w:rsidRPr="00C2247C">
        <w:rPr>
          <w:rFonts w:cs="Arial"/>
          <w:sz w:val="24"/>
        </w:rPr>
        <w:t>An</w:t>
      </w:r>
      <w:r w:rsidR="009E2701" w:rsidRPr="00C2247C">
        <w:rPr>
          <w:rFonts w:cs="Arial"/>
          <w:sz w:val="24"/>
        </w:rPr>
        <w:t xml:space="preserve"> initial incident review to confirm wh</w:t>
      </w:r>
      <w:r w:rsidR="0054655D">
        <w:rPr>
          <w:rFonts w:cs="Arial"/>
          <w:sz w:val="24"/>
        </w:rPr>
        <w:t xml:space="preserve">at </w:t>
      </w:r>
      <w:r w:rsidR="009E2701" w:rsidRPr="00C2247C">
        <w:rPr>
          <w:rFonts w:cs="Arial"/>
          <w:sz w:val="24"/>
        </w:rPr>
        <w:t xml:space="preserve">has occurred and if </w:t>
      </w:r>
      <w:r w:rsidR="00282566" w:rsidRPr="00C2247C">
        <w:rPr>
          <w:rFonts w:cs="Arial"/>
          <w:sz w:val="24"/>
        </w:rPr>
        <w:t>applicable</w:t>
      </w:r>
      <w:r w:rsidR="009E2701" w:rsidRPr="00C2247C">
        <w:rPr>
          <w:rFonts w:cs="Arial"/>
          <w:sz w:val="24"/>
        </w:rPr>
        <w:t xml:space="preserve"> the </w:t>
      </w:r>
      <w:r w:rsidR="00282566" w:rsidRPr="00C2247C">
        <w:rPr>
          <w:rFonts w:cs="Arial"/>
          <w:sz w:val="24"/>
        </w:rPr>
        <w:t>level</w:t>
      </w:r>
      <w:r w:rsidR="009E2701" w:rsidRPr="00C2247C">
        <w:rPr>
          <w:rFonts w:cs="Arial"/>
          <w:sz w:val="24"/>
        </w:rPr>
        <w:t xml:space="preserve"> of investigation required and to outline immediate action taken. </w:t>
      </w:r>
    </w:p>
    <w:p w14:paraId="180FEDBE" w14:textId="1498A8D0" w:rsidR="00F5359C" w:rsidRPr="00C2247C" w:rsidRDefault="0054655D" w:rsidP="00F30C7D">
      <w:pPr>
        <w:ind w:left="720"/>
        <w:rPr>
          <w:rFonts w:cs="Arial"/>
          <w:sz w:val="24"/>
        </w:rPr>
      </w:pPr>
      <w:r>
        <w:rPr>
          <w:rFonts w:cs="Arial"/>
          <w:sz w:val="24"/>
        </w:rPr>
        <w:t>I</w:t>
      </w:r>
      <w:r w:rsidR="00F5359C" w:rsidRPr="00C2247C">
        <w:rPr>
          <w:rFonts w:cs="Arial"/>
          <w:sz w:val="24"/>
        </w:rPr>
        <w:t xml:space="preserve">nvestigations are a review of care provided using recognised systems analysis tools. These are either undertaken at service level for a service level investigation/significant event analysis or through a central dedicated team for </w:t>
      </w:r>
      <w:r w:rsidR="00F5359C" w:rsidRPr="00C2247C">
        <w:rPr>
          <w:rFonts w:cs="Arial"/>
          <w:sz w:val="24"/>
        </w:rPr>
        <w:lastRenderedPageBreak/>
        <w:t>serious incidents. The aim of the review is for the Trust to learn and prevent recurrence.</w:t>
      </w:r>
    </w:p>
    <w:p w14:paraId="1297E8D3" w14:textId="77777777" w:rsidR="00F5359C" w:rsidRPr="00C2247C" w:rsidRDefault="00F5359C" w:rsidP="00F30C7D">
      <w:pPr>
        <w:ind w:left="720"/>
        <w:rPr>
          <w:rFonts w:cs="Arial"/>
          <w:sz w:val="24"/>
        </w:rPr>
      </w:pPr>
      <w:r w:rsidRPr="00C2247C">
        <w:rPr>
          <w:rFonts w:cs="Arial"/>
          <w:sz w:val="24"/>
        </w:rPr>
        <w:t>When the family/carers wish to be involved, their preference regarding how, when and where they want to engage will be paramount and built on the principles of compassionate engagement. The findings will always be shared with the family subject to confidentiality requirements. We will always share the outcome and learning.</w:t>
      </w:r>
    </w:p>
    <w:p w14:paraId="689C565C" w14:textId="17ECD7F1" w:rsidR="00F5359C" w:rsidRPr="00C2247C" w:rsidRDefault="00F5359C" w:rsidP="008168F1">
      <w:pPr>
        <w:pStyle w:val="ListParagraph"/>
        <w:numPr>
          <w:ilvl w:val="2"/>
          <w:numId w:val="22"/>
        </w:numPr>
        <w:spacing w:before="60" w:after="60"/>
        <w:rPr>
          <w:rFonts w:cs="Arial"/>
          <w:b/>
          <w:sz w:val="24"/>
        </w:rPr>
      </w:pPr>
      <w:r w:rsidRPr="00C2247C">
        <w:rPr>
          <w:rFonts w:cs="Arial"/>
          <w:b/>
          <w:sz w:val="24"/>
        </w:rPr>
        <w:t>Joint investigations</w:t>
      </w:r>
    </w:p>
    <w:p w14:paraId="25E7D751" w14:textId="5C117EEA" w:rsidR="00F5359C" w:rsidRPr="00C2247C" w:rsidRDefault="00F5359C" w:rsidP="00F30C7D">
      <w:pPr>
        <w:ind w:left="720"/>
        <w:rPr>
          <w:rFonts w:cs="Arial"/>
          <w:sz w:val="24"/>
        </w:rPr>
      </w:pPr>
      <w:r w:rsidRPr="00C2247C">
        <w:rPr>
          <w:rFonts w:cs="Arial"/>
          <w:sz w:val="24"/>
        </w:rPr>
        <w:t>There are some instances when a joint approach</w:t>
      </w:r>
      <w:r w:rsidR="0054655D">
        <w:rPr>
          <w:rFonts w:cs="Arial"/>
          <w:sz w:val="24"/>
        </w:rPr>
        <w:t xml:space="preserve"> to investigation </w:t>
      </w:r>
      <w:r w:rsidRPr="00C2247C">
        <w:rPr>
          <w:rFonts w:cs="Arial"/>
          <w:sz w:val="24"/>
        </w:rPr>
        <w:t>is required. The Trust has developed links with neighbouring Trusts</w:t>
      </w:r>
      <w:r w:rsidR="0054655D">
        <w:rPr>
          <w:rFonts w:cs="Arial"/>
          <w:sz w:val="24"/>
        </w:rPr>
        <w:t xml:space="preserve"> and other NHS providers of care</w:t>
      </w:r>
      <w:r w:rsidRPr="00C2247C">
        <w:rPr>
          <w:rFonts w:cs="Arial"/>
          <w:sz w:val="24"/>
        </w:rPr>
        <w:t xml:space="preserve"> to enable this to take place when needed. </w:t>
      </w:r>
    </w:p>
    <w:p w14:paraId="7B2320E9" w14:textId="4989328F" w:rsidR="00F5359C" w:rsidRPr="00C2247C" w:rsidRDefault="00F5359C" w:rsidP="008168F1">
      <w:pPr>
        <w:pStyle w:val="ListParagraph"/>
        <w:numPr>
          <w:ilvl w:val="2"/>
          <w:numId w:val="22"/>
        </w:numPr>
        <w:spacing w:before="60" w:after="60"/>
        <w:rPr>
          <w:rFonts w:cs="Arial"/>
          <w:b/>
          <w:sz w:val="24"/>
        </w:rPr>
      </w:pPr>
      <w:r w:rsidRPr="00C2247C">
        <w:rPr>
          <w:rFonts w:cs="Arial"/>
          <w:b/>
          <w:sz w:val="24"/>
        </w:rPr>
        <w:t>Other investigations</w:t>
      </w:r>
    </w:p>
    <w:p w14:paraId="15857895" w14:textId="7CC5ABDE" w:rsidR="00F5359C" w:rsidRDefault="00F5359C" w:rsidP="00F30C7D">
      <w:pPr>
        <w:ind w:left="720"/>
        <w:rPr>
          <w:rFonts w:cs="Arial"/>
          <w:sz w:val="24"/>
        </w:rPr>
      </w:pPr>
      <w:r w:rsidRPr="00C2247C">
        <w:rPr>
          <w:rFonts w:cs="Arial"/>
          <w:sz w:val="24"/>
        </w:rPr>
        <w:t xml:space="preserve">The Trust is an active member in </w:t>
      </w:r>
      <w:r w:rsidR="00E13E88">
        <w:rPr>
          <w:rStyle w:val="cf01"/>
          <w:rFonts w:ascii="Arial" w:hAnsi="Arial" w:cs="Arial"/>
          <w:sz w:val="24"/>
          <w:szCs w:val="24"/>
        </w:rPr>
        <w:t>S</w:t>
      </w:r>
      <w:r w:rsidR="00E13E88" w:rsidRPr="00E13E88">
        <w:rPr>
          <w:rStyle w:val="cf01"/>
          <w:rFonts w:ascii="Arial" w:hAnsi="Arial" w:cs="Arial"/>
          <w:sz w:val="24"/>
          <w:szCs w:val="24"/>
        </w:rPr>
        <w:t>afeguarding adult</w:t>
      </w:r>
      <w:r w:rsidR="00E13E88">
        <w:rPr>
          <w:rStyle w:val="cf01"/>
          <w:rFonts w:ascii="Arial" w:hAnsi="Arial" w:cs="Arial"/>
          <w:sz w:val="24"/>
          <w:szCs w:val="24"/>
        </w:rPr>
        <w:t>’s</w:t>
      </w:r>
      <w:r w:rsidR="00E13E88" w:rsidRPr="00E13E88">
        <w:rPr>
          <w:rStyle w:val="cf01"/>
          <w:rFonts w:ascii="Arial" w:hAnsi="Arial" w:cs="Arial"/>
          <w:sz w:val="24"/>
          <w:szCs w:val="24"/>
        </w:rPr>
        <w:t xml:space="preserve"> board, safeguarding children's partnership</w:t>
      </w:r>
      <w:r w:rsidR="002B213B" w:rsidRPr="00C2247C">
        <w:rPr>
          <w:rFonts w:cs="Arial"/>
          <w:sz w:val="24"/>
        </w:rPr>
        <w:t>,</w:t>
      </w:r>
      <w:r w:rsidRPr="00C2247C">
        <w:rPr>
          <w:rFonts w:cs="Arial"/>
          <w:sz w:val="24"/>
        </w:rPr>
        <w:t xml:space="preserve"> and should a death require investigation through the Safeguarding process the Trust will work through that process in line wit</w:t>
      </w:r>
      <w:r w:rsidR="0054655D">
        <w:rPr>
          <w:rFonts w:cs="Arial"/>
          <w:sz w:val="24"/>
        </w:rPr>
        <w:t>h</w:t>
      </w:r>
      <w:r w:rsidRPr="00C2247C">
        <w:rPr>
          <w:rFonts w:cs="Arial"/>
          <w:sz w:val="24"/>
        </w:rPr>
        <w:t xml:space="preserve"> </w:t>
      </w:r>
      <w:r w:rsidR="0054655D">
        <w:rPr>
          <w:rFonts w:cs="Arial"/>
          <w:sz w:val="24"/>
        </w:rPr>
        <w:t xml:space="preserve">the </w:t>
      </w:r>
      <w:r w:rsidR="0054655D" w:rsidRPr="00C2247C">
        <w:rPr>
          <w:rFonts w:cs="Arial"/>
          <w:sz w:val="24"/>
        </w:rPr>
        <w:t>Serious Incident Framework</w:t>
      </w:r>
      <w:r w:rsidRPr="00C2247C">
        <w:rPr>
          <w:rFonts w:cs="Arial"/>
          <w:sz w:val="24"/>
        </w:rPr>
        <w:t xml:space="preserve">. </w:t>
      </w:r>
    </w:p>
    <w:p w14:paraId="2244E3BB" w14:textId="37C5F7E5" w:rsidR="00F5359C" w:rsidRPr="00C2247C" w:rsidRDefault="00F5359C" w:rsidP="008168F1">
      <w:pPr>
        <w:pStyle w:val="ListParagraph"/>
        <w:numPr>
          <w:ilvl w:val="2"/>
          <w:numId w:val="22"/>
        </w:numPr>
        <w:spacing w:before="60" w:after="60"/>
        <w:rPr>
          <w:rFonts w:cs="Arial"/>
          <w:b/>
          <w:sz w:val="24"/>
        </w:rPr>
      </w:pPr>
      <w:r w:rsidRPr="00C2247C">
        <w:rPr>
          <w:rFonts w:cs="Arial"/>
          <w:b/>
          <w:sz w:val="24"/>
        </w:rPr>
        <w:t>Learning Disability</w:t>
      </w:r>
      <w:r w:rsidR="0079415C">
        <w:rPr>
          <w:rFonts w:cs="Arial"/>
          <w:b/>
          <w:sz w:val="24"/>
        </w:rPr>
        <w:t xml:space="preserve"> and Autism</w:t>
      </w:r>
      <w:r w:rsidRPr="00C2247C">
        <w:rPr>
          <w:rFonts w:cs="Arial"/>
          <w:b/>
          <w:sz w:val="24"/>
        </w:rPr>
        <w:t xml:space="preserve"> Deaths </w:t>
      </w:r>
    </w:p>
    <w:p w14:paraId="3C23431F" w14:textId="60C550E0" w:rsidR="007205AC" w:rsidRPr="00BC3020" w:rsidRDefault="00F5359C" w:rsidP="00F30C7D">
      <w:pPr>
        <w:ind w:left="720"/>
        <w:rPr>
          <w:rFonts w:cs="Arial"/>
          <w:color w:val="000000" w:themeColor="text1"/>
          <w:sz w:val="24"/>
        </w:rPr>
      </w:pPr>
      <w:r w:rsidRPr="00BC3020">
        <w:rPr>
          <w:rFonts w:cs="Arial"/>
          <w:color w:val="000000" w:themeColor="text1"/>
          <w:sz w:val="24"/>
        </w:rPr>
        <w:t xml:space="preserve">All deaths of </w:t>
      </w:r>
      <w:r w:rsidR="007205AC" w:rsidRPr="00BC3020">
        <w:rPr>
          <w:rFonts w:cs="Arial"/>
          <w:color w:val="000000" w:themeColor="text1"/>
          <w:sz w:val="24"/>
        </w:rPr>
        <w:t xml:space="preserve">individuals </w:t>
      </w:r>
      <w:r w:rsidRPr="00BC3020">
        <w:rPr>
          <w:rFonts w:cs="Arial"/>
          <w:color w:val="000000" w:themeColor="text1"/>
          <w:sz w:val="24"/>
        </w:rPr>
        <w:t xml:space="preserve">with a </w:t>
      </w:r>
      <w:r w:rsidRPr="00BC3020">
        <w:rPr>
          <w:rFonts w:cs="Arial"/>
          <w:color w:val="000000" w:themeColor="text1"/>
          <w:sz w:val="24"/>
          <w:lang w:val="en"/>
        </w:rPr>
        <w:t>Learning Disability</w:t>
      </w:r>
      <w:r w:rsidR="007205AC" w:rsidRPr="00BC3020">
        <w:rPr>
          <w:rFonts w:cs="Arial"/>
          <w:color w:val="000000" w:themeColor="text1"/>
          <w:sz w:val="24"/>
          <w:lang w:val="en"/>
        </w:rPr>
        <w:t xml:space="preserve"> and/or an Autism</w:t>
      </w:r>
      <w:r w:rsidRPr="00BC3020">
        <w:rPr>
          <w:rFonts w:cs="Arial"/>
          <w:color w:val="000000" w:themeColor="text1"/>
          <w:sz w:val="24"/>
          <w:lang w:val="en"/>
        </w:rPr>
        <w:t xml:space="preserve"> diagnosis </w:t>
      </w:r>
      <w:r w:rsidR="007205AC" w:rsidRPr="00BC3020">
        <w:rPr>
          <w:rFonts w:cs="Arial"/>
          <w:color w:val="000000" w:themeColor="text1"/>
          <w:sz w:val="24"/>
          <w:lang w:val="en"/>
        </w:rPr>
        <w:t>should have</w:t>
      </w:r>
      <w:r w:rsidRPr="00BC3020">
        <w:rPr>
          <w:rFonts w:cs="Arial"/>
          <w:color w:val="000000" w:themeColor="text1"/>
          <w:sz w:val="24"/>
          <w:lang w:val="en"/>
        </w:rPr>
        <w:t xml:space="preserve"> </w:t>
      </w:r>
      <w:r w:rsidR="0054655D" w:rsidRPr="00BC3020">
        <w:rPr>
          <w:rFonts w:cs="Arial"/>
          <w:color w:val="000000" w:themeColor="text1"/>
          <w:sz w:val="24"/>
          <w:lang w:val="en"/>
        </w:rPr>
        <w:t>a f</w:t>
      </w:r>
      <w:r w:rsidRPr="00BC3020">
        <w:rPr>
          <w:rFonts w:cs="Arial"/>
          <w:color w:val="000000" w:themeColor="text1"/>
          <w:sz w:val="24"/>
          <w:lang w:val="en"/>
        </w:rPr>
        <w:t xml:space="preserve">act </w:t>
      </w:r>
      <w:r w:rsidR="0054655D" w:rsidRPr="00BC3020">
        <w:rPr>
          <w:rFonts w:cs="Arial"/>
          <w:color w:val="000000" w:themeColor="text1"/>
          <w:sz w:val="24"/>
          <w:lang w:val="en"/>
        </w:rPr>
        <w:t>f</w:t>
      </w:r>
      <w:r w:rsidRPr="00BC3020">
        <w:rPr>
          <w:rFonts w:cs="Arial"/>
          <w:color w:val="000000" w:themeColor="text1"/>
          <w:sz w:val="24"/>
          <w:lang w:val="en"/>
        </w:rPr>
        <w:t>ind</w:t>
      </w:r>
      <w:r w:rsidRPr="00BC3020">
        <w:rPr>
          <w:rFonts w:cs="Arial"/>
          <w:color w:val="000000" w:themeColor="text1"/>
          <w:sz w:val="24"/>
        </w:rPr>
        <w:t xml:space="preserve"> completed to enable any local learning to be identified.</w:t>
      </w:r>
      <w:r w:rsidR="007205AC" w:rsidRPr="00BC3020">
        <w:rPr>
          <w:rFonts w:cs="Arial"/>
          <w:color w:val="000000" w:themeColor="text1"/>
          <w:sz w:val="24"/>
        </w:rPr>
        <w:t xml:space="preserve"> There is </w:t>
      </w:r>
      <w:hyperlink r:id="rId14" w:history="1">
        <w:r w:rsidR="007205AC" w:rsidRPr="007205AC">
          <w:rPr>
            <w:rFonts w:cs="Arial"/>
            <w:b/>
            <w:bCs/>
            <w:color w:val="000000" w:themeColor="text1"/>
            <w:sz w:val="24"/>
            <w:u w:val="single"/>
          </w:rPr>
          <w:t>evidence from both before</w:t>
        </w:r>
      </w:hyperlink>
      <w:r w:rsidR="007205AC" w:rsidRPr="007205AC">
        <w:rPr>
          <w:rFonts w:cs="Arial"/>
          <w:color w:val="000000" w:themeColor="text1"/>
          <w:sz w:val="24"/>
        </w:rPr>
        <w:t> and </w:t>
      </w:r>
      <w:hyperlink r:id="rId15" w:history="1">
        <w:r w:rsidR="007205AC" w:rsidRPr="007205AC">
          <w:rPr>
            <w:rFonts w:cs="Arial"/>
            <w:b/>
            <w:bCs/>
            <w:color w:val="000000" w:themeColor="text1"/>
            <w:sz w:val="24"/>
            <w:u w:val="single"/>
          </w:rPr>
          <w:t>during the pandemic</w:t>
        </w:r>
      </w:hyperlink>
      <w:r w:rsidR="007205AC" w:rsidRPr="007205AC">
        <w:rPr>
          <w:rFonts w:cs="Arial"/>
          <w:color w:val="000000" w:themeColor="text1"/>
          <w:sz w:val="24"/>
        </w:rPr>
        <w:t> that deaths for people with disabilities and autistic people are  higher than they should be and that people die earlier than ought to be the case</w:t>
      </w:r>
      <w:r w:rsidR="00BC3020" w:rsidRPr="0079415C">
        <w:rPr>
          <w:rFonts w:cs="Arial"/>
          <w:color w:val="000000" w:themeColor="text1"/>
          <w:sz w:val="24"/>
        </w:rPr>
        <w:t xml:space="preserve">. Alongside the fact </w:t>
      </w:r>
      <w:r w:rsidR="0079415C" w:rsidRPr="0079415C">
        <w:rPr>
          <w:rFonts w:cs="Arial"/>
          <w:color w:val="000000" w:themeColor="text1"/>
          <w:sz w:val="24"/>
        </w:rPr>
        <w:t>find a</w:t>
      </w:r>
      <w:r w:rsidR="00BC3020" w:rsidRPr="0079415C">
        <w:rPr>
          <w:rFonts w:cs="Arial"/>
          <w:color w:val="000000" w:themeColor="text1"/>
          <w:sz w:val="24"/>
        </w:rPr>
        <w:t xml:space="preserve"> Structured Judgement Review may be completed</w:t>
      </w:r>
      <w:r w:rsidR="00BC3020">
        <w:rPr>
          <w:rFonts w:cs="Arial"/>
          <w:color w:val="000000" w:themeColor="text1"/>
          <w:sz w:val="24"/>
        </w:rPr>
        <w:t xml:space="preserve"> </w:t>
      </w:r>
      <w:r w:rsidR="00BC3020" w:rsidRPr="00BC3020">
        <w:rPr>
          <w:rFonts w:cs="Arial"/>
          <w:color w:val="000000" w:themeColor="text1"/>
          <w:sz w:val="24"/>
        </w:rPr>
        <w:t>and</w:t>
      </w:r>
      <w:r w:rsidR="00BC3020">
        <w:rPr>
          <w:rFonts w:cs="Arial"/>
          <w:color w:val="000000" w:themeColor="text1"/>
          <w:sz w:val="24"/>
        </w:rPr>
        <w:t xml:space="preserve"> if appropriate</w:t>
      </w:r>
      <w:r w:rsidR="00BC3020" w:rsidRPr="00BC3020">
        <w:rPr>
          <w:rFonts w:cs="Arial"/>
          <w:color w:val="000000" w:themeColor="text1"/>
          <w:sz w:val="24"/>
        </w:rPr>
        <w:t xml:space="preserve"> also refer to the West Yorkshire ICB to request a </w:t>
      </w:r>
      <w:r w:rsidR="00BC3020" w:rsidRPr="007205AC">
        <w:rPr>
          <w:rFonts w:cs="Arial"/>
          <w:color w:val="000000" w:themeColor="text1"/>
          <w:sz w:val="24"/>
        </w:rPr>
        <w:t>Learning from Life and Death Review </w:t>
      </w:r>
    </w:p>
    <w:p w14:paraId="010CBE72" w14:textId="1A923DDE" w:rsidR="004E168D" w:rsidRPr="00C2247C" w:rsidRDefault="004E168D" w:rsidP="00BB27C5">
      <w:pPr>
        <w:tabs>
          <w:tab w:val="left" w:pos="0"/>
        </w:tabs>
        <w:spacing w:before="0" w:after="0"/>
        <w:jc w:val="left"/>
        <w:rPr>
          <w:rFonts w:cs="Arial"/>
          <w:b/>
          <w:sz w:val="24"/>
        </w:rPr>
      </w:pPr>
      <w:r w:rsidRPr="00C2247C">
        <w:rPr>
          <w:rFonts w:cs="Arial"/>
          <w:b/>
          <w:sz w:val="24"/>
        </w:rPr>
        <w:t>1.</w:t>
      </w:r>
      <w:r w:rsidR="00C2247C" w:rsidRPr="00C2247C">
        <w:rPr>
          <w:rFonts w:cs="Arial"/>
          <w:b/>
          <w:sz w:val="24"/>
        </w:rPr>
        <w:t>8</w:t>
      </w:r>
      <w:r w:rsidRPr="00C2247C">
        <w:rPr>
          <w:rFonts w:cs="Arial"/>
          <w:b/>
          <w:sz w:val="24"/>
        </w:rPr>
        <w:tab/>
        <w:t>Governance process/ ensuring Learning</w:t>
      </w:r>
    </w:p>
    <w:p w14:paraId="010CBE73" w14:textId="77777777" w:rsidR="00F927A7" w:rsidRPr="00C2247C" w:rsidRDefault="00F927A7" w:rsidP="000854E7">
      <w:pPr>
        <w:tabs>
          <w:tab w:val="left" w:pos="0"/>
        </w:tabs>
        <w:spacing w:before="0" w:after="0"/>
        <w:ind w:left="720"/>
        <w:jc w:val="left"/>
        <w:rPr>
          <w:rFonts w:cs="Arial"/>
          <w:sz w:val="24"/>
        </w:rPr>
      </w:pPr>
    </w:p>
    <w:p w14:paraId="010CBE74" w14:textId="51B33C6C" w:rsidR="004E168D" w:rsidRPr="00176AD0" w:rsidRDefault="004E168D" w:rsidP="000854E7">
      <w:pPr>
        <w:tabs>
          <w:tab w:val="left" w:pos="0"/>
        </w:tabs>
        <w:spacing w:before="0" w:after="0"/>
        <w:ind w:left="720"/>
        <w:jc w:val="left"/>
        <w:rPr>
          <w:rFonts w:cs="Arial"/>
          <w:sz w:val="24"/>
        </w:rPr>
      </w:pPr>
      <w:r w:rsidRPr="00176AD0">
        <w:rPr>
          <w:rFonts w:cs="Arial"/>
          <w:sz w:val="24"/>
        </w:rPr>
        <w:t xml:space="preserve">The prime objective of a Learning from Death Policy is that we can improve services and the experience of those services of the people </w:t>
      </w:r>
      <w:r w:rsidR="00C14E57" w:rsidRPr="00176AD0">
        <w:rPr>
          <w:rFonts w:cs="Arial"/>
          <w:color w:val="000000" w:themeColor="text1"/>
          <w:sz w:val="24"/>
        </w:rPr>
        <w:t xml:space="preserve">who </w:t>
      </w:r>
      <w:r w:rsidRPr="00176AD0">
        <w:rPr>
          <w:rFonts w:cs="Arial"/>
          <w:sz w:val="24"/>
        </w:rPr>
        <w:t xml:space="preserve">use them. </w:t>
      </w:r>
    </w:p>
    <w:p w14:paraId="010CBE77" w14:textId="53A014C2" w:rsidR="004E168D" w:rsidRPr="00176AD0" w:rsidRDefault="004E168D" w:rsidP="004E168D">
      <w:pPr>
        <w:tabs>
          <w:tab w:val="left" w:pos="0"/>
        </w:tabs>
        <w:spacing w:before="0" w:after="0"/>
        <w:jc w:val="left"/>
        <w:rPr>
          <w:rFonts w:cs="Arial"/>
          <w:sz w:val="24"/>
        </w:rPr>
      </w:pPr>
    </w:p>
    <w:p w14:paraId="132210D4" w14:textId="77777777" w:rsidR="00964357" w:rsidRDefault="0079415C" w:rsidP="0079415C">
      <w:pPr>
        <w:tabs>
          <w:tab w:val="left" w:pos="0"/>
        </w:tabs>
        <w:spacing w:before="0" w:after="0"/>
        <w:ind w:left="720"/>
        <w:jc w:val="left"/>
        <w:rPr>
          <w:sz w:val="24"/>
        </w:rPr>
      </w:pPr>
      <w:r w:rsidRPr="00176AD0">
        <w:rPr>
          <w:sz w:val="24"/>
        </w:rPr>
        <w:t xml:space="preserve">We have developed a consistent framework to review deaths reported at LYPFT, ensuring where </w:t>
      </w:r>
      <w:r w:rsidR="00176AD0">
        <w:rPr>
          <w:sz w:val="24"/>
        </w:rPr>
        <w:t xml:space="preserve">potential </w:t>
      </w:r>
      <w:r w:rsidRPr="00176AD0">
        <w:rPr>
          <w:sz w:val="24"/>
        </w:rPr>
        <w:t xml:space="preserve">learning opportunities are identified that </w:t>
      </w:r>
      <w:r w:rsidR="00176AD0">
        <w:rPr>
          <w:sz w:val="24"/>
        </w:rPr>
        <w:t>these</w:t>
      </w:r>
      <w:r w:rsidRPr="00176AD0">
        <w:rPr>
          <w:sz w:val="24"/>
        </w:rPr>
        <w:t xml:space="preserve"> are discussed at LIMM to agree the type and scope of review that is required. </w:t>
      </w:r>
      <w:r w:rsidR="00176AD0">
        <w:rPr>
          <w:sz w:val="24"/>
        </w:rPr>
        <w:t>There are agreed processes in place as to where and how to share the findings and subsequent learning.</w:t>
      </w:r>
      <w:r w:rsidR="00964357">
        <w:rPr>
          <w:sz w:val="24"/>
        </w:rPr>
        <w:t xml:space="preserve"> </w:t>
      </w:r>
      <w:r w:rsidR="00964357" w:rsidRPr="00176AD0">
        <w:rPr>
          <w:sz w:val="24"/>
        </w:rPr>
        <w:t xml:space="preserve">As a learning organisation, </w:t>
      </w:r>
      <w:r w:rsidR="00964357">
        <w:rPr>
          <w:sz w:val="24"/>
        </w:rPr>
        <w:t>we</w:t>
      </w:r>
      <w:r w:rsidR="00964357" w:rsidRPr="00176AD0">
        <w:rPr>
          <w:sz w:val="24"/>
        </w:rPr>
        <w:t xml:space="preserve"> </w:t>
      </w:r>
      <w:r w:rsidR="00964357">
        <w:rPr>
          <w:sz w:val="24"/>
        </w:rPr>
        <w:t xml:space="preserve">consider how to share learning to a broad audience. </w:t>
      </w:r>
    </w:p>
    <w:p w14:paraId="514C8A25" w14:textId="6171CB57" w:rsidR="00964357" w:rsidRDefault="00964357" w:rsidP="00964357">
      <w:pPr>
        <w:ind w:left="720"/>
        <w:rPr>
          <w:sz w:val="24"/>
        </w:rPr>
      </w:pPr>
      <w:r>
        <w:rPr>
          <w:sz w:val="24"/>
        </w:rPr>
        <w:t>Patient Safety</w:t>
      </w:r>
      <w:r w:rsidR="00176AD0">
        <w:rPr>
          <w:sz w:val="24"/>
        </w:rPr>
        <w:t xml:space="preserve"> </w:t>
      </w:r>
      <w:r>
        <w:rPr>
          <w:sz w:val="24"/>
        </w:rPr>
        <w:t xml:space="preserve">Investigations commissioned via LIMM are taken through the service line Clinical Governance meeting and Quality Assurance Group for review, comment and development of appropriate actions. The report and action plan are taken through Trust Wide Clinical Governance for sign off. </w:t>
      </w:r>
      <w:r w:rsidRPr="00176AD0">
        <w:rPr>
          <w:sz w:val="24"/>
        </w:rPr>
        <w:t>Thematic reviews will be carried out where appropriate and monitoring of emerging themes will have oversight from the Trust wide Incident Review Group</w:t>
      </w:r>
      <w:r>
        <w:rPr>
          <w:sz w:val="24"/>
        </w:rPr>
        <w:t xml:space="preserve">. </w:t>
      </w:r>
    </w:p>
    <w:p w14:paraId="29FF0781" w14:textId="20E60831" w:rsidR="00964357" w:rsidRDefault="00964357" w:rsidP="00964357">
      <w:pPr>
        <w:ind w:left="720"/>
        <w:rPr>
          <w:sz w:val="24"/>
        </w:rPr>
      </w:pPr>
      <w:r w:rsidRPr="00176AD0">
        <w:rPr>
          <w:sz w:val="24"/>
        </w:rPr>
        <w:lastRenderedPageBreak/>
        <w:t xml:space="preserve">Opportunities for Trust-wide </w:t>
      </w:r>
      <w:r>
        <w:rPr>
          <w:sz w:val="24"/>
        </w:rPr>
        <w:t>l</w:t>
      </w:r>
      <w:r w:rsidRPr="00176AD0">
        <w:rPr>
          <w:sz w:val="24"/>
        </w:rPr>
        <w:t xml:space="preserve">earning can be shared at the Unified Clinical Governance Group and cascaded through service or service line Clinical Governance Meetings. </w:t>
      </w:r>
      <w:r>
        <w:rPr>
          <w:sz w:val="24"/>
        </w:rPr>
        <w:t>There is also opportunity for information to be shared within a number of specialty meetings including</w:t>
      </w:r>
      <w:r w:rsidR="009F556D">
        <w:rPr>
          <w:sz w:val="24"/>
        </w:rPr>
        <w:t>,</w:t>
      </w:r>
      <w:r>
        <w:rPr>
          <w:sz w:val="24"/>
        </w:rPr>
        <w:t xml:space="preserve"> but not limited </w:t>
      </w:r>
      <w:r w:rsidR="009F556D">
        <w:rPr>
          <w:sz w:val="24"/>
        </w:rPr>
        <w:t>to, Falls</w:t>
      </w:r>
      <w:r>
        <w:rPr>
          <w:sz w:val="24"/>
        </w:rPr>
        <w:t xml:space="preserve"> and Pressure Ulcer Group, Positive and Safe Group, Sexual Safety Group, </w:t>
      </w:r>
      <w:r w:rsidR="00E13E88">
        <w:rPr>
          <w:sz w:val="24"/>
        </w:rPr>
        <w:t xml:space="preserve">Trust wide </w:t>
      </w:r>
      <w:r>
        <w:rPr>
          <w:sz w:val="24"/>
        </w:rPr>
        <w:t xml:space="preserve">Safeguarding Committee. </w:t>
      </w:r>
    </w:p>
    <w:p w14:paraId="42168F5B" w14:textId="0FE56E45" w:rsidR="00964357" w:rsidRPr="00434AA6" w:rsidRDefault="00964357" w:rsidP="00964357">
      <w:pPr>
        <w:ind w:left="720"/>
        <w:rPr>
          <w:rFonts w:cs="Arial"/>
          <w:color w:val="4F81BD" w:themeColor="accent1"/>
          <w:sz w:val="24"/>
        </w:rPr>
      </w:pPr>
      <w:r w:rsidRPr="00176AD0">
        <w:rPr>
          <w:sz w:val="24"/>
        </w:rPr>
        <w:t xml:space="preserve">We share learning with our partner trusts through the Secondary Mental Health Suicide Prevention Group.  </w:t>
      </w:r>
      <w:r w:rsidRPr="00C2247C">
        <w:rPr>
          <w:rFonts w:cs="Arial"/>
          <w:sz w:val="24"/>
        </w:rPr>
        <w:t xml:space="preserve">We </w:t>
      </w:r>
      <w:r>
        <w:rPr>
          <w:rFonts w:cs="Arial"/>
          <w:sz w:val="24"/>
        </w:rPr>
        <w:t xml:space="preserve">are currently piloting processes to share learning with </w:t>
      </w:r>
      <w:r w:rsidRPr="00C2247C">
        <w:rPr>
          <w:rFonts w:cs="Arial"/>
          <w:sz w:val="24"/>
        </w:rPr>
        <w:t>clinical staff</w:t>
      </w:r>
      <w:r>
        <w:rPr>
          <w:rFonts w:cs="Arial"/>
          <w:sz w:val="24"/>
        </w:rPr>
        <w:t xml:space="preserve"> identifying any preferred methods. </w:t>
      </w:r>
    </w:p>
    <w:p w14:paraId="010CBE85" w14:textId="2D9CBD3F" w:rsidR="000854E7" w:rsidRDefault="00964357" w:rsidP="000854E7">
      <w:pPr>
        <w:ind w:left="720"/>
        <w:rPr>
          <w:rFonts w:cs="Arial"/>
          <w:sz w:val="24"/>
        </w:rPr>
      </w:pPr>
      <w:r w:rsidRPr="00C2247C">
        <w:rPr>
          <w:rFonts w:cs="Arial"/>
          <w:sz w:val="24"/>
        </w:rPr>
        <w:t xml:space="preserve">Structured </w:t>
      </w:r>
      <w:r>
        <w:rPr>
          <w:rFonts w:cs="Arial"/>
          <w:sz w:val="24"/>
        </w:rPr>
        <w:t xml:space="preserve">Judgement </w:t>
      </w:r>
      <w:r w:rsidR="003F7D9B" w:rsidRPr="00C2247C">
        <w:rPr>
          <w:rFonts w:cs="Arial"/>
          <w:sz w:val="24"/>
        </w:rPr>
        <w:t>Review</w:t>
      </w:r>
      <w:r w:rsidR="003F7D9B">
        <w:rPr>
          <w:rFonts w:cs="Arial"/>
          <w:sz w:val="24"/>
        </w:rPr>
        <w:t>s</w:t>
      </w:r>
      <w:r w:rsidRPr="00C2247C">
        <w:rPr>
          <w:rFonts w:cs="Arial"/>
          <w:sz w:val="24"/>
        </w:rPr>
        <w:t xml:space="preserve"> </w:t>
      </w:r>
      <w:r>
        <w:rPr>
          <w:rFonts w:cs="Arial"/>
          <w:sz w:val="24"/>
        </w:rPr>
        <w:t>are</w:t>
      </w:r>
      <w:r w:rsidR="000854E7" w:rsidRPr="00C2247C">
        <w:rPr>
          <w:rFonts w:cs="Arial"/>
          <w:sz w:val="24"/>
        </w:rPr>
        <w:t xml:space="preserve"> presented </w:t>
      </w:r>
      <w:r w:rsidR="00176AD0">
        <w:rPr>
          <w:rFonts w:cs="Arial"/>
          <w:sz w:val="24"/>
        </w:rPr>
        <w:t>within the</w:t>
      </w:r>
      <w:r>
        <w:rPr>
          <w:rFonts w:cs="Arial"/>
          <w:sz w:val="24"/>
        </w:rPr>
        <w:t xml:space="preserve"> relevant</w:t>
      </w:r>
      <w:r w:rsidR="00176AD0">
        <w:rPr>
          <w:rFonts w:cs="Arial"/>
          <w:sz w:val="24"/>
        </w:rPr>
        <w:t xml:space="preserve"> service’s Clinical Governance meeting</w:t>
      </w:r>
      <w:r w:rsidR="000854E7" w:rsidRPr="00C2247C">
        <w:rPr>
          <w:rFonts w:cs="Arial"/>
          <w:sz w:val="24"/>
        </w:rPr>
        <w:t xml:space="preserve">. Any actions would be agreed and monitored </w:t>
      </w:r>
      <w:r w:rsidR="00176AD0">
        <w:rPr>
          <w:rFonts w:cs="Arial"/>
          <w:sz w:val="24"/>
        </w:rPr>
        <w:t xml:space="preserve">through the </w:t>
      </w:r>
      <w:r>
        <w:rPr>
          <w:rFonts w:cs="Arial"/>
          <w:sz w:val="24"/>
        </w:rPr>
        <w:t>service or team Clinical Improvement Forum and/or</w:t>
      </w:r>
      <w:r w:rsidR="00176AD0">
        <w:rPr>
          <w:rFonts w:cs="Arial"/>
          <w:sz w:val="24"/>
        </w:rPr>
        <w:t xml:space="preserve"> Clinical Governance or Risk Management Meeting</w:t>
      </w:r>
      <w:r w:rsidR="00E42BC6" w:rsidRPr="00C2247C">
        <w:rPr>
          <w:rFonts w:cs="Arial"/>
          <w:sz w:val="24"/>
        </w:rPr>
        <w:t xml:space="preserve"> </w:t>
      </w:r>
      <w:r w:rsidR="000854E7" w:rsidRPr="00C2247C">
        <w:rPr>
          <w:rFonts w:cs="Arial"/>
          <w:sz w:val="24"/>
        </w:rPr>
        <w:t xml:space="preserve">and cascaded through the operational management structure as appropriate. </w:t>
      </w:r>
    </w:p>
    <w:p w14:paraId="20511D17" w14:textId="77777777" w:rsidR="00E644F5" w:rsidRDefault="00E644F5" w:rsidP="000854E7">
      <w:pPr>
        <w:tabs>
          <w:tab w:val="left" w:pos="709"/>
        </w:tabs>
        <w:spacing w:before="0" w:after="0"/>
        <w:jc w:val="left"/>
        <w:rPr>
          <w:rFonts w:cs="Arial"/>
          <w:b/>
          <w:sz w:val="24"/>
        </w:rPr>
      </w:pPr>
    </w:p>
    <w:p w14:paraId="010CBE87" w14:textId="5456FC2C" w:rsidR="000854E7" w:rsidRPr="00C2247C" w:rsidRDefault="00964357" w:rsidP="000854E7">
      <w:pPr>
        <w:tabs>
          <w:tab w:val="left" w:pos="709"/>
        </w:tabs>
        <w:spacing w:before="0" w:after="0"/>
        <w:jc w:val="left"/>
        <w:rPr>
          <w:rFonts w:cs="Arial"/>
          <w:b/>
          <w:sz w:val="24"/>
        </w:rPr>
      </w:pPr>
      <w:r>
        <w:rPr>
          <w:rFonts w:cs="Arial"/>
          <w:b/>
          <w:sz w:val="24"/>
        </w:rPr>
        <w:tab/>
      </w:r>
      <w:r w:rsidR="000854E7" w:rsidRPr="00C2247C">
        <w:rPr>
          <w:rFonts w:cs="Arial"/>
          <w:b/>
          <w:sz w:val="24"/>
        </w:rPr>
        <w:t>1.</w:t>
      </w:r>
      <w:r w:rsidR="00C2247C" w:rsidRPr="00C2247C">
        <w:rPr>
          <w:rFonts w:cs="Arial"/>
          <w:b/>
          <w:sz w:val="24"/>
        </w:rPr>
        <w:t>8</w:t>
      </w:r>
      <w:r w:rsidR="000854E7" w:rsidRPr="00C2247C">
        <w:rPr>
          <w:rFonts w:cs="Arial"/>
          <w:b/>
          <w:sz w:val="24"/>
        </w:rPr>
        <w:t>.</w:t>
      </w:r>
      <w:r w:rsidR="00C2247C" w:rsidRPr="00C2247C">
        <w:rPr>
          <w:rFonts w:cs="Arial"/>
          <w:b/>
          <w:sz w:val="24"/>
        </w:rPr>
        <w:t>1</w:t>
      </w:r>
      <w:r w:rsidR="000854E7" w:rsidRPr="00C2247C">
        <w:rPr>
          <w:rFonts w:cs="Arial"/>
          <w:b/>
          <w:sz w:val="24"/>
        </w:rPr>
        <w:tab/>
        <w:t>Data reporting</w:t>
      </w:r>
    </w:p>
    <w:p w14:paraId="010CBE88" w14:textId="000B35BA" w:rsidR="000854E7" w:rsidRPr="00C2247C" w:rsidRDefault="00F5359C" w:rsidP="000854E7">
      <w:pPr>
        <w:ind w:left="720"/>
        <w:rPr>
          <w:rFonts w:cs="Arial"/>
          <w:sz w:val="24"/>
        </w:rPr>
      </w:pPr>
      <w:r w:rsidRPr="00C2247C">
        <w:rPr>
          <w:rFonts w:cs="Arial"/>
          <w:sz w:val="24"/>
        </w:rPr>
        <w:t>T</w:t>
      </w:r>
      <w:r w:rsidR="000854E7" w:rsidRPr="00C2247C">
        <w:rPr>
          <w:rFonts w:cs="Arial"/>
          <w:sz w:val="24"/>
        </w:rPr>
        <w:t>rusts are requi</w:t>
      </w:r>
      <w:r w:rsidRPr="00C2247C">
        <w:rPr>
          <w:rFonts w:cs="Arial"/>
          <w:sz w:val="24"/>
        </w:rPr>
        <w:t>red</w:t>
      </w:r>
      <w:r w:rsidR="000854E7" w:rsidRPr="00C2247C">
        <w:rPr>
          <w:rFonts w:cs="Arial"/>
          <w:sz w:val="24"/>
        </w:rPr>
        <w:t xml:space="preserve"> to publish information on deaths, reviews and investigations via a quarterly agenda item and paper to its public Board meetings. </w:t>
      </w:r>
    </w:p>
    <w:p w14:paraId="010CBE98" w14:textId="517468D4" w:rsidR="00F927A7" w:rsidRDefault="00F927A7" w:rsidP="00235F49">
      <w:pPr>
        <w:spacing w:before="0" w:line="276" w:lineRule="auto"/>
        <w:jc w:val="left"/>
        <w:rPr>
          <w:rFonts w:cs="Arial"/>
          <w:b/>
          <w:bCs/>
          <w:sz w:val="24"/>
        </w:rPr>
      </w:pPr>
    </w:p>
    <w:p w14:paraId="79E67CBB" w14:textId="1A4C0B78" w:rsidR="00E13E88" w:rsidRDefault="00E13E88" w:rsidP="00235F49">
      <w:pPr>
        <w:spacing w:before="0" w:line="276" w:lineRule="auto"/>
        <w:jc w:val="left"/>
        <w:rPr>
          <w:rFonts w:cs="Arial"/>
          <w:b/>
          <w:bCs/>
          <w:sz w:val="24"/>
        </w:rPr>
      </w:pPr>
    </w:p>
    <w:p w14:paraId="7260C60B" w14:textId="059A90D5" w:rsidR="00E13E88" w:rsidRDefault="00E13E88" w:rsidP="00235F49">
      <w:pPr>
        <w:spacing w:before="0" w:line="276" w:lineRule="auto"/>
        <w:jc w:val="left"/>
        <w:rPr>
          <w:rFonts w:cs="Arial"/>
          <w:b/>
          <w:bCs/>
          <w:sz w:val="24"/>
        </w:rPr>
      </w:pPr>
    </w:p>
    <w:p w14:paraId="15B2E02C" w14:textId="77777777" w:rsidR="00E13E88" w:rsidRPr="00C2247C" w:rsidRDefault="00E13E88" w:rsidP="00235F49">
      <w:pPr>
        <w:spacing w:before="0" w:line="276" w:lineRule="auto"/>
        <w:jc w:val="left"/>
        <w:rPr>
          <w:rFonts w:cs="Arial"/>
          <w:b/>
          <w:bCs/>
          <w:sz w:val="24"/>
        </w:rPr>
      </w:pPr>
    </w:p>
    <w:p w14:paraId="143A4E0F" w14:textId="381E0CCD" w:rsidR="002B213B" w:rsidRDefault="002B213B" w:rsidP="00235F49">
      <w:pPr>
        <w:spacing w:before="0" w:line="276" w:lineRule="auto"/>
        <w:jc w:val="left"/>
        <w:rPr>
          <w:rFonts w:cs="Arial"/>
          <w:b/>
          <w:bCs/>
          <w:sz w:val="24"/>
        </w:rPr>
      </w:pPr>
    </w:p>
    <w:p w14:paraId="73DDD775" w14:textId="209F8C2E" w:rsidR="00E13E88" w:rsidRDefault="00E13E88" w:rsidP="00235F49">
      <w:pPr>
        <w:spacing w:before="0" w:line="276" w:lineRule="auto"/>
        <w:jc w:val="left"/>
        <w:rPr>
          <w:rFonts w:cs="Arial"/>
          <w:b/>
          <w:bCs/>
          <w:sz w:val="24"/>
        </w:rPr>
      </w:pPr>
    </w:p>
    <w:p w14:paraId="23D1911C" w14:textId="047C12EC" w:rsidR="00E13E88" w:rsidRDefault="00E13E88" w:rsidP="00235F49">
      <w:pPr>
        <w:spacing w:before="0" w:line="276" w:lineRule="auto"/>
        <w:jc w:val="left"/>
        <w:rPr>
          <w:rFonts w:cs="Arial"/>
          <w:b/>
          <w:bCs/>
          <w:sz w:val="24"/>
        </w:rPr>
      </w:pPr>
    </w:p>
    <w:p w14:paraId="26EE9A8A" w14:textId="2AAB5974" w:rsidR="00631C21" w:rsidRDefault="00631C21" w:rsidP="00235F49">
      <w:pPr>
        <w:spacing w:before="0" w:line="276" w:lineRule="auto"/>
        <w:jc w:val="left"/>
        <w:rPr>
          <w:rFonts w:cs="Arial"/>
          <w:b/>
          <w:bCs/>
          <w:sz w:val="24"/>
        </w:rPr>
      </w:pPr>
    </w:p>
    <w:p w14:paraId="0A938F43" w14:textId="59EBA1D4" w:rsidR="00631C21" w:rsidRDefault="00631C21" w:rsidP="00235F49">
      <w:pPr>
        <w:spacing w:before="0" w:line="276" w:lineRule="auto"/>
        <w:jc w:val="left"/>
        <w:rPr>
          <w:rFonts w:cs="Arial"/>
          <w:b/>
          <w:bCs/>
          <w:sz w:val="24"/>
        </w:rPr>
      </w:pPr>
    </w:p>
    <w:p w14:paraId="3FAC2D77" w14:textId="4B58F3D7" w:rsidR="00631C21" w:rsidRDefault="00631C21" w:rsidP="00235F49">
      <w:pPr>
        <w:spacing w:before="0" w:line="276" w:lineRule="auto"/>
        <w:jc w:val="left"/>
        <w:rPr>
          <w:rFonts w:cs="Arial"/>
          <w:b/>
          <w:bCs/>
          <w:sz w:val="24"/>
        </w:rPr>
      </w:pPr>
    </w:p>
    <w:p w14:paraId="2E8F4F21" w14:textId="4ADB7E87" w:rsidR="00631C21" w:rsidRDefault="00631C21" w:rsidP="00235F49">
      <w:pPr>
        <w:spacing w:before="0" w:line="276" w:lineRule="auto"/>
        <w:jc w:val="left"/>
        <w:rPr>
          <w:rFonts w:cs="Arial"/>
          <w:b/>
          <w:bCs/>
          <w:sz w:val="24"/>
        </w:rPr>
      </w:pPr>
    </w:p>
    <w:p w14:paraId="6191DD34" w14:textId="33DFFDC4" w:rsidR="00631C21" w:rsidRDefault="00631C21" w:rsidP="00235F49">
      <w:pPr>
        <w:spacing w:before="0" w:line="276" w:lineRule="auto"/>
        <w:jc w:val="left"/>
        <w:rPr>
          <w:rFonts w:cs="Arial"/>
          <w:b/>
          <w:bCs/>
          <w:sz w:val="24"/>
        </w:rPr>
      </w:pPr>
    </w:p>
    <w:p w14:paraId="331714EE" w14:textId="178AC84E" w:rsidR="00631C21" w:rsidRDefault="00631C21" w:rsidP="00235F49">
      <w:pPr>
        <w:spacing w:before="0" w:line="276" w:lineRule="auto"/>
        <w:jc w:val="left"/>
        <w:rPr>
          <w:rFonts w:cs="Arial"/>
          <w:b/>
          <w:bCs/>
          <w:sz w:val="24"/>
        </w:rPr>
      </w:pPr>
    </w:p>
    <w:p w14:paraId="423303A5" w14:textId="3A1FAA55" w:rsidR="00631C21" w:rsidRDefault="00631C21" w:rsidP="00235F49">
      <w:pPr>
        <w:spacing w:before="0" w:line="276" w:lineRule="auto"/>
        <w:jc w:val="left"/>
        <w:rPr>
          <w:rFonts w:cs="Arial"/>
          <w:b/>
          <w:bCs/>
          <w:sz w:val="24"/>
        </w:rPr>
      </w:pPr>
    </w:p>
    <w:p w14:paraId="6BD64D1A" w14:textId="1758D090" w:rsidR="00631C21" w:rsidRDefault="00631C21" w:rsidP="00235F49">
      <w:pPr>
        <w:spacing w:before="0" w:line="276" w:lineRule="auto"/>
        <w:jc w:val="left"/>
        <w:rPr>
          <w:rFonts w:cs="Arial"/>
          <w:b/>
          <w:bCs/>
          <w:sz w:val="24"/>
        </w:rPr>
      </w:pPr>
    </w:p>
    <w:p w14:paraId="010CBE99" w14:textId="75816DA2" w:rsidR="000062C2" w:rsidRPr="00C2247C" w:rsidRDefault="00631C21" w:rsidP="00964357">
      <w:pPr>
        <w:spacing w:before="0" w:line="276" w:lineRule="auto"/>
        <w:ind w:firstLine="720"/>
        <w:jc w:val="left"/>
        <w:rPr>
          <w:rFonts w:cs="Arial"/>
          <w:b/>
          <w:bCs/>
          <w:sz w:val="24"/>
        </w:rPr>
      </w:pPr>
      <w:r>
        <w:rPr>
          <w:rFonts w:cs="Arial"/>
          <w:b/>
          <w:bCs/>
          <w:sz w:val="24"/>
        </w:rPr>
        <w:lastRenderedPageBreak/>
        <w:t>2</w:t>
      </w:r>
      <w:r w:rsidR="00235F49" w:rsidRPr="00C2247C">
        <w:rPr>
          <w:rFonts w:cs="Arial"/>
          <w:b/>
          <w:bCs/>
          <w:sz w:val="24"/>
        </w:rPr>
        <w:tab/>
      </w:r>
      <w:r w:rsidR="005D21A2" w:rsidRPr="00C2247C">
        <w:rPr>
          <w:rFonts w:cs="Arial"/>
          <w:b/>
          <w:bCs/>
          <w:sz w:val="24"/>
        </w:rPr>
        <w:t>Appendices</w:t>
      </w:r>
    </w:p>
    <w:p w14:paraId="7E37B4DD" w14:textId="48F64CFC" w:rsidR="00F5359C" w:rsidRPr="00C2247C" w:rsidRDefault="00E13E88">
      <w:pPr>
        <w:spacing w:before="0" w:line="276" w:lineRule="auto"/>
        <w:jc w:val="left"/>
        <w:rPr>
          <w:rFonts w:cs="Arial"/>
          <w:b/>
          <w:bCs/>
          <w:sz w:val="24"/>
        </w:rPr>
      </w:pPr>
      <w:r>
        <w:rPr>
          <w:rFonts w:cs="Arial"/>
          <w:b/>
          <w:bCs/>
          <w:sz w:val="24"/>
        </w:rPr>
        <w:t>Mortality Review Process w</w:t>
      </w:r>
      <w:r w:rsidR="00631C21">
        <w:rPr>
          <w:rFonts w:cs="Arial"/>
          <w:b/>
          <w:bCs/>
          <w:sz w:val="24"/>
        </w:rPr>
        <w:t>ithin LYPFT</w:t>
      </w:r>
      <w:r w:rsidR="00631C21">
        <w:rPr>
          <w:noProof/>
        </w:rPr>
        <w:t xml:space="preserve"> </w:t>
      </w:r>
    </w:p>
    <w:p w14:paraId="6E1B5A85" w14:textId="4BCC3CC5" w:rsidR="00C3111C" w:rsidRDefault="00C3111C" w:rsidP="008913ED">
      <w:pPr>
        <w:spacing w:before="0" w:after="0"/>
        <w:jc w:val="left"/>
        <w:rPr>
          <w:rFonts w:cs="Arial"/>
          <w:b/>
          <w:bCs/>
          <w:sz w:val="24"/>
        </w:rPr>
      </w:pPr>
    </w:p>
    <w:p w14:paraId="75442AF4" w14:textId="1C01FDEF" w:rsidR="00C3111C" w:rsidRDefault="004C02A6" w:rsidP="00EC4F68">
      <w:pPr>
        <w:spacing w:before="0" w:after="0"/>
        <w:ind w:left="-284"/>
        <w:jc w:val="left"/>
        <w:rPr>
          <w:rFonts w:cs="Arial"/>
          <w:b/>
          <w:bCs/>
          <w:sz w:val="24"/>
        </w:rPr>
      </w:pPr>
      <w:r>
        <w:rPr>
          <w:noProof/>
        </w:rPr>
        <w:drawing>
          <wp:inline distT="0" distB="0" distL="0" distR="0" wp14:anchorId="1377897A" wp14:editId="26BF2629">
            <wp:extent cx="6076950" cy="44958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a:stretch>
                      <a:fillRect/>
                    </a:stretch>
                  </pic:blipFill>
                  <pic:spPr>
                    <a:xfrm>
                      <a:off x="0" y="0"/>
                      <a:ext cx="6076950" cy="4495800"/>
                    </a:xfrm>
                    <a:prstGeom prst="rect">
                      <a:avLst/>
                    </a:prstGeom>
                  </pic:spPr>
                </pic:pic>
              </a:graphicData>
            </a:graphic>
          </wp:inline>
        </w:drawing>
      </w:r>
    </w:p>
    <w:p w14:paraId="1157EE30" w14:textId="75597369" w:rsidR="00C3111C" w:rsidRDefault="00C3111C" w:rsidP="008913ED">
      <w:pPr>
        <w:spacing w:before="0" w:after="0"/>
        <w:jc w:val="left"/>
        <w:rPr>
          <w:rFonts w:cs="Arial"/>
          <w:b/>
          <w:bCs/>
          <w:sz w:val="24"/>
        </w:rPr>
      </w:pPr>
    </w:p>
    <w:p w14:paraId="03AD8A65" w14:textId="33A2F2EC" w:rsidR="00C3111C" w:rsidRDefault="00C3111C" w:rsidP="008913ED">
      <w:pPr>
        <w:spacing w:before="0" w:after="0"/>
        <w:jc w:val="left"/>
        <w:rPr>
          <w:rFonts w:cs="Arial"/>
          <w:b/>
          <w:bCs/>
          <w:sz w:val="24"/>
        </w:rPr>
      </w:pPr>
    </w:p>
    <w:p w14:paraId="0D4E2459" w14:textId="09D5314B" w:rsidR="00C3111C" w:rsidRDefault="00C3111C" w:rsidP="008913ED">
      <w:pPr>
        <w:spacing w:before="0" w:after="0"/>
        <w:jc w:val="left"/>
        <w:rPr>
          <w:rFonts w:cs="Arial"/>
          <w:b/>
          <w:bCs/>
          <w:sz w:val="24"/>
        </w:rPr>
      </w:pPr>
    </w:p>
    <w:p w14:paraId="52D0BE3F" w14:textId="2D1F52FA" w:rsidR="00C3111C" w:rsidRDefault="00C3111C" w:rsidP="008913ED">
      <w:pPr>
        <w:spacing w:before="0" w:after="0"/>
        <w:jc w:val="left"/>
        <w:rPr>
          <w:rFonts w:cs="Arial"/>
          <w:b/>
          <w:bCs/>
          <w:sz w:val="24"/>
        </w:rPr>
      </w:pPr>
    </w:p>
    <w:p w14:paraId="25BEFD5D" w14:textId="2B0AA9A2" w:rsidR="00C3111C" w:rsidRDefault="00C3111C" w:rsidP="008913ED">
      <w:pPr>
        <w:spacing w:before="0" w:after="0"/>
        <w:jc w:val="left"/>
        <w:rPr>
          <w:rFonts w:cs="Arial"/>
          <w:b/>
          <w:bCs/>
          <w:sz w:val="24"/>
        </w:rPr>
      </w:pPr>
    </w:p>
    <w:p w14:paraId="531A8551" w14:textId="3B79499F" w:rsidR="00C3111C" w:rsidRDefault="00C3111C" w:rsidP="008913ED">
      <w:pPr>
        <w:spacing w:before="0" w:after="0"/>
        <w:jc w:val="left"/>
        <w:rPr>
          <w:rFonts w:cs="Arial"/>
          <w:b/>
          <w:bCs/>
          <w:sz w:val="24"/>
        </w:rPr>
      </w:pPr>
    </w:p>
    <w:p w14:paraId="370A2065" w14:textId="1A898F0C" w:rsidR="00C3111C" w:rsidRDefault="00C3111C" w:rsidP="008913ED">
      <w:pPr>
        <w:spacing w:before="0" w:after="0"/>
        <w:jc w:val="left"/>
        <w:rPr>
          <w:rFonts w:cs="Arial"/>
          <w:b/>
          <w:bCs/>
          <w:sz w:val="24"/>
        </w:rPr>
      </w:pPr>
    </w:p>
    <w:p w14:paraId="2A41765C" w14:textId="2C666756" w:rsidR="00C3111C" w:rsidRDefault="00C3111C" w:rsidP="008913ED">
      <w:pPr>
        <w:spacing w:before="0" w:after="0"/>
        <w:jc w:val="left"/>
        <w:rPr>
          <w:rFonts w:cs="Arial"/>
          <w:b/>
          <w:bCs/>
          <w:sz w:val="24"/>
        </w:rPr>
      </w:pPr>
    </w:p>
    <w:p w14:paraId="6F9725C1" w14:textId="0A3C8DA8" w:rsidR="00C3111C" w:rsidRDefault="00C3111C" w:rsidP="008913ED">
      <w:pPr>
        <w:spacing w:before="0" w:after="0"/>
        <w:jc w:val="left"/>
        <w:rPr>
          <w:rFonts w:cs="Arial"/>
          <w:b/>
          <w:bCs/>
          <w:sz w:val="24"/>
        </w:rPr>
      </w:pPr>
    </w:p>
    <w:p w14:paraId="501311CA" w14:textId="069E4F39" w:rsidR="00A13521" w:rsidRDefault="00A13521" w:rsidP="008913ED">
      <w:pPr>
        <w:spacing w:before="0" w:after="0"/>
        <w:jc w:val="left"/>
        <w:rPr>
          <w:rFonts w:cs="Arial"/>
          <w:b/>
          <w:bCs/>
          <w:sz w:val="24"/>
        </w:rPr>
      </w:pPr>
    </w:p>
    <w:p w14:paraId="0251F336" w14:textId="1CEC0642" w:rsidR="00A13521" w:rsidRDefault="00A13521" w:rsidP="008913ED">
      <w:pPr>
        <w:spacing w:before="0" w:after="0"/>
        <w:jc w:val="left"/>
        <w:rPr>
          <w:rFonts w:cs="Arial"/>
          <w:b/>
          <w:bCs/>
          <w:sz w:val="24"/>
        </w:rPr>
      </w:pPr>
    </w:p>
    <w:p w14:paraId="25B8C8D4" w14:textId="3CFD35FF" w:rsidR="00A13521" w:rsidRDefault="00A13521" w:rsidP="008913ED">
      <w:pPr>
        <w:spacing w:before="0" w:after="0"/>
        <w:jc w:val="left"/>
        <w:rPr>
          <w:rFonts w:cs="Arial"/>
          <w:b/>
          <w:bCs/>
          <w:sz w:val="24"/>
        </w:rPr>
      </w:pPr>
    </w:p>
    <w:p w14:paraId="590D4E54" w14:textId="6E82CC6C" w:rsidR="00A13521" w:rsidRDefault="00A13521" w:rsidP="008913ED">
      <w:pPr>
        <w:spacing w:before="0" w:after="0"/>
        <w:jc w:val="left"/>
        <w:rPr>
          <w:rFonts w:cs="Arial"/>
          <w:b/>
          <w:bCs/>
          <w:sz w:val="24"/>
        </w:rPr>
      </w:pPr>
    </w:p>
    <w:p w14:paraId="2AE93842" w14:textId="77777777" w:rsidR="00A13521" w:rsidRDefault="00A13521" w:rsidP="008913ED">
      <w:pPr>
        <w:spacing w:before="0" w:after="0"/>
        <w:jc w:val="left"/>
        <w:rPr>
          <w:rFonts w:cs="Arial"/>
          <w:b/>
          <w:bCs/>
          <w:sz w:val="24"/>
        </w:rPr>
      </w:pPr>
    </w:p>
    <w:p w14:paraId="023EB3D5" w14:textId="3A859599" w:rsidR="00C3111C" w:rsidRDefault="00C3111C" w:rsidP="008913ED">
      <w:pPr>
        <w:spacing w:before="0" w:after="0"/>
        <w:jc w:val="left"/>
        <w:rPr>
          <w:rFonts w:cs="Arial"/>
          <w:b/>
          <w:bCs/>
          <w:sz w:val="24"/>
        </w:rPr>
      </w:pPr>
    </w:p>
    <w:p w14:paraId="31C8D04C" w14:textId="7FEBC98C" w:rsidR="00C3111C" w:rsidRDefault="00C3111C" w:rsidP="008913ED">
      <w:pPr>
        <w:spacing w:before="0" w:after="0"/>
        <w:jc w:val="left"/>
        <w:rPr>
          <w:rFonts w:cs="Arial"/>
          <w:b/>
          <w:bCs/>
          <w:sz w:val="24"/>
        </w:rPr>
      </w:pPr>
    </w:p>
    <w:p w14:paraId="13A00D2D" w14:textId="7E264100" w:rsidR="00C3111C" w:rsidRDefault="00C3111C" w:rsidP="008913ED">
      <w:pPr>
        <w:spacing w:before="0" w:after="0"/>
        <w:jc w:val="left"/>
        <w:rPr>
          <w:rFonts w:cs="Arial"/>
          <w:b/>
          <w:bCs/>
          <w:sz w:val="24"/>
        </w:rPr>
      </w:pPr>
    </w:p>
    <w:p w14:paraId="04FF62C6" w14:textId="77777777" w:rsidR="00EC4F68" w:rsidRDefault="00EC4F68" w:rsidP="008913ED">
      <w:pPr>
        <w:spacing w:before="0" w:after="0"/>
        <w:jc w:val="left"/>
        <w:rPr>
          <w:rFonts w:cs="Arial"/>
          <w:b/>
          <w:bCs/>
          <w:sz w:val="24"/>
        </w:rPr>
      </w:pPr>
    </w:p>
    <w:p w14:paraId="010CBE9D" w14:textId="34E309E5" w:rsidR="005D21A2" w:rsidRPr="00C2247C" w:rsidRDefault="00802BA5" w:rsidP="008913ED">
      <w:pPr>
        <w:spacing w:before="0" w:after="0"/>
        <w:jc w:val="left"/>
        <w:rPr>
          <w:rFonts w:cs="Arial"/>
          <w:bCs/>
          <w:sz w:val="24"/>
        </w:rPr>
      </w:pPr>
      <w:r w:rsidRPr="00C2247C">
        <w:rPr>
          <w:rFonts w:cs="Arial"/>
          <w:b/>
          <w:bCs/>
          <w:sz w:val="24"/>
        </w:rPr>
        <w:lastRenderedPageBreak/>
        <w:t>PART B</w:t>
      </w:r>
      <w:r w:rsidR="008913ED" w:rsidRPr="00C2247C">
        <w:rPr>
          <w:rFonts w:cs="Arial"/>
          <w:b/>
          <w:bCs/>
          <w:sz w:val="24"/>
        </w:rPr>
        <w:t xml:space="preserve">  </w:t>
      </w:r>
    </w:p>
    <w:p w14:paraId="010CBE9E" w14:textId="77777777" w:rsidR="005D21A2" w:rsidRPr="00C2247C" w:rsidRDefault="005D21A2" w:rsidP="00FB5960">
      <w:pPr>
        <w:spacing w:before="0" w:after="0"/>
        <w:rPr>
          <w:rFonts w:cs="Arial"/>
          <w:b/>
          <w:bCs/>
          <w:sz w:val="24"/>
        </w:rPr>
      </w:pPr>
    </w:p>
    <w:p w14:paraId="010CBE9F" w14:textId="77777777" w:rsidR="007C507D" w:rsidRPr="00C2247C" w:rsidRDefault="007C507D" w:rsidP="007C507D">
      <w:pPr>
        <w:spacing w:before="0" w:after="0"/>
        <w:rPr>
          <w:rFonts w:cs="Arial"/>
          <w:b/>
          <w:sz w:val="24"/>
        </w:rPr>
      </w:pPr>
      <w:r w:rsidRPr="00C2247C">
        <w:rPr>
          <w:rFonts w:cs="Arial"/>
          <w:b/>
          <w:sz w:val="24"/>
        </w:rPr>
        <w:t>3</w:t>
      </w:r>
      <w:r w:rsidRPr="00C2247C">
        <w:rPr>
          <w:rFonts w:cs="Arial"/>
          <w:b/>
          <w:sz w:val="24"/>
        </w:rPr>
        <w:tab/>
        <w:t>IDENTIFICATION OF STAKEHOLDERS</w:t>
      </w:r>
    </w:p>
    <w:p w14:paraId="010CBEA0" w14:textId="77777777" w:rsidR="007C507D" w:rsidRPr="00C2247C" w:rsidRDefault="007C507D" w:rsidP="007C507D">
      <w:pPr>
        <w:spacing w:before="0" w:after="0"/>
        <w:ind w:left="720"/>
        <w:jc w:val="left"/>
        <w:rPr>
          <w:rFonts w:cs="Arial"/>
          <w:bCs/>
          <w:iCs/>
          <w:sz w:val="24"/>
        </w:rPr>
      </w:pPr>
    </w:p>
    <w:p w14:paraId="010CBEA2" w14:textId="63AD4BA9" w:rsidR="00E2357E" w:rsidRPr="00C2247C" w:rsidRDefault="007C507D" w:rsidP="00E2357E">
      <w:pPr>
        <w:spacing w:before="0" w:after="0"/>
        <w:jc w:val="left"/>
        <w:rPr>
          <w:rFonts w:cs="Arial"/>
          <w:iCs/>
          <w:sz w:val="24"/>
        </w:rPr>
      </w:pPr>
      <w:r w:rsidRPr="00C2247C">
        <w:rPr>
          <w:rFonts w:cs="Arial"/>
          <w:bCs/>
          <w:iCs/>
          <w:sz w:val="24"/>
        </w:rPr>
        <w:t>The table below should be used as a summary</w:t>
      </w:r>
      <w:r w:rsidR="00B377C2" w:rsidRPr="00C2247C">
        <w:rPr>
          <w:rFonts w:cs="Arial"/>
          <w:bCs/>
          <w:iCs/>
          <w:sz w:val="24"/>
        </w:rPr>
        <w:t xml:space="preserve">.  </w:t>
      </w:r>
      <w:r w:rsidR="00E2357E" w:rsidRPr="00C2247C">
        <w:rPr>
          <w:rFonts w:cs="Arial"/>
          <w:bCs/>
          <w:iCs/>
          <w:sz w:val="24"/>
        </w:rPr>
        <w:t>L</w:t>
      </w:r>
      <w:r w:rsidR="00B377C2" w:rsidRPr="00C2247C">
        <w:rPr>
          <w:rFonts w:cs="Arial"/>
          <w:bCs/>
          <w:iCs/>
          <w:sz w:val="24"/>
        </w:rPr>
        <w:t>is</w:t>
      </w:r>
      <w:r w:rsidR="00E2357E" w:rsidRPr="00C2247C">
        <w:rPr>
          <w:rFonts w:cs="Arial"/>
          <w:bCs/>
          <w:iCs/>
          <w:sz w:val="24"/>
        </w:rPr>
        <w:t>t those involved in development,</w:t>
      </w:r>
      <w:r w:rsidR="00B377C2" w:rsidRPr="00C2247C">
        <w:rPr>
          <w:rFonts w:cs="Arial"/>
          <w:bCs/>
          <w:iCs/>
          <w:sz w:val="24"/>
        </w:rPr>
        <w:t xml:space="preserve"> consultation</w:t>
      </w:r>
      <w:r w:rsidR="00E2357E" w:rsidRPr="00C2247C">
        <w:rPr>
          <w:rFonts w:cs="Arial"/>
          <w:bCs/>
          <w:iCs/>
          <w:sz w:val="24"/>
        </w:rPr>
        <w:t xml:space="preserve">, </w:t>
      </w:r>
      <w:r w:rsidR="002B213B" w:rsidRPr="00C2247C">
        <w:rPr>
          <w:rFonts w:cs="Arial"/>
          <w:bCs/>
          <w:iCs/>
          <w:sz w:val="24"/>
        </w:rPr>
        <w:t>approval,</w:t>
      </w:r>
      <w:r w:rsidR="00E2357E" w:rsidRPr="00C2247C">
        <w:rPr>
          <w:rFonts w:cs="Arial"/>
          <w:bCs/>
          <w:iCs/>
          <w:sz w:val="24"/>
        </w:rPr>
        <w:t xml:space="preserve"> and ratification</w:t>
      </w:r>
      <w:r w:rsidR="00B377C2" w:rsidRPr="00C2247C">
        <w:rPr>
          <w:rFonts w:cs="Arial"/>
          <w:bCs/>
          <w:iCs/>
          <w:sz w:val="24"/>
        </w:rPr>
        <w:t xml:space="preserve"> processes.</w:t>
      </w:r>
    </w:p>
    <w:tbl>
      <w:tblPr>
        <w:tblStyle w:val="TableGrid"/>
        <w:tblpPr w:leftFromText="180" w:rightFromText="180" w:vertAnchor="text" w:horzAnchor="margin" w:tblpY="368"/>
        <w:tblW w:w="0" w:type="auto"/>
        <w:tblLook w:val="04A0" w:firstRow="1" w:lastRow="0" w:firstColumn="1" w:lastColumn="0" w:noHBand="0" w:noVBand="1"/>
      </w:tblPr>
      <w:tblGrid>
        <w:gridCol w:w="5665"/>
        <w:gridCol w:w="3351"/>
      </w:tblGrid>
      <w:tr w:rsidR="00A13521" w:rsidRPr="001A50F2" w14:paraId="7139DC87" w14:textId="77777777" w:rsidTr="00A13521">
        <w:tc>
          <w:tcPr>
            <w:tcW w:w="5665" w:type="dxa"/>
          </w:tcPr>
          <w:p w14:paraId="554595E3" w14:textId="77777777" w:rsidR="00A13521" w:rsidRPr="001A50F2" w:rsidRDefault="00A13521" w:rsidP="0009484A">
            <w:pPr>
              <w:rPr>
                <w:rFonts w:cs="Arial"/>
                <w:b/>
                <w:sz w:val="23"/>
                <w:szCs w:val="23"/>
              </w:rPr>
            </w:pPr>
            <w:r w:rsidRPr="001A50F2">
              <w:rPr>
                <w:rFonts w:cs="Arial"/>
                <w:b/>
                <w:sz w:val="23"/>
                <w:szCs w:val="23"/>
              </w:rPr>
              <w:t>Stakeholder</w:t>
            </w:r>
          </w:p>
        </w:tc>
        <w:tc>
          <w:tcPr>
            <w:tcW w:w="3351" w:type="dxa"/>
          </w:tcPr>
          <w:p w14:paraId="699416C1" w14:textId="77777777" w:rsidR="00A13521" w:rsidRPr="001A50F2" w:rsidRDefault="00A13521" w:rsidP="0009484A">
            <w:pPr>
              <w:rPr>
                <w:rFonts w:cs="Arial"/>
                <w:b/>
                <w:sz w:val="23"/>
                <w:szCs w:val="23"/>
              </w:rPr>
            </w:pPr>
            <w:r w:rsidRPr="001A50F2">
              <w:rPr>
                <w:rFonts w:cs="Arial"/>
                <w:b/>
                <w:sz w:val="23"/>
                <w:szCs w:val="23"/>
              </w:rPr>
              <w:t xml:space="preserve">Level of involvement </w:t>
            </w:r>
          </w:p>
        </w:tc>
      </w:tr>
      <w:tr w:rsidR="00A13521" w:rsidRPr="001A50F2" w14:paraId="072F9F65" w14:textId="77777777" w:rsidTr="00A13521">
        <w:tc>
          <w:tcPr>
            <w:tcW w:w="5665" w:type="dxa"/>
          </w:tcPr>
          <w:p w14:paraId="46DAA5CA" w14:textId="212CEE35" w:rsidR="00A13521" w:rsidRPr="001A50F2" w:rsidRDefault="00A13521" w:rsidP="0009484A">
            <w:pPr>
              <w:rPr>
                <w:rFonts w:cs="Arial"/>
                <w:sz w:val="23"/>
                <w:szCs w:val="23"/>
              </w:rPr>
            </w:pPr>
            <w:r>
              <w:rPr>
                <w:rFonts w:cs="Arial"/>
                <w:sz w:val="23"/>
                <w:szCs w:val="23"/>
              </w:rPr>
              <w:t>Medical Director</w:t>
            </w:r>
          </w:p>
        </w:tc>
        <w:tc>
          <w:tcPr>
            <w:tcW w:w="3351" w:type="dxa"/>
          </w:tcPr>
          <w:p w14:paraId="4D170535" w14:textId="26D9F928" w:rsidR="00A13521" w:rsidRPr="001A50F2" w:rsidRDefault="00A13521" w:rsidP="0009484A">
            <w:pPr>
              <w:rPr>
                <w:rFonts w:cs="Arial"/>
                <w:sz w:val="23"/>
                <w:szCs w:val="23"/>
              </w:rPr>
            </w:pPr>
            <w:r>
              <w:rPr>
                <w:rFonts w:cs="Arial"/>
                <w:sz w:val="23"/>
                <w:szCs w:val="23"/>
              </w:rPr>
              <w:t xml:space="preserve">Consultation </w:t>
            </w:r>
          </w:p>
        </w:tc>
      </w:tr>
      <w:tr w:rsidR="00A13521" w:rsidRPr="001A50F2" w14:paraId="594D319D" w14:textId="77777777" w:rsidTr="00A13521">
        <w:tc>
          <w:tcPr>
            <w:tcW w:w="5665" w:type="dxa"/>
          </w:tcPr>
          <w:p w14:paraId="53CE0EE5" w14:textId="77777777" w:rsidR="00A13521" w:rsidRPr="001A50F2" w:rsidRDefault="00A13521" w:rsidP="0009484A">
            <w:pPr>
              <w:rPr>
                <w:rFonts w:cs="Arial"/>
                <w:sz w:val="23"/>
                <w:szCs w:val="23"/>
              </w:rPr>
            </w:pPr>
            <w:r w:rsidRPr="001A50F2">
              <w:rPr>
                <w:rFonts w:cs="Arial"/>
                <w:sz w:val="23"/>
                <w:szCs w:val="23"/>
              </w:rPr>
              <w:t>Deputy Director of Nursing and Quality</w:t>
            </w:r>
          </w:p>
        </w:tc>
        <w:tc>
          <w:tcPr>
            <w:tcW w:w="3351" w:type="dxa"/>
          </w:tcPr>
          <w:p w14:paraId="231E37BE" w14:textId="77777777" w:rsidR="00A13521" w:rsidRPr="001A50F2" w:rsidRDefault="00A13521" w:rsidP="0009484A">
            <w:pPr>
              <w:rPr>
                <w:rFonts w:cs="Arial"/>
                <w:sz w:val="23"/>
                <w:szCs w:val="23"/>
              </w:rPr>
            </w:pPr>
            <w:r w:rsidRPr="001A50F2">
              <w:rPr>
                <w:rFonts w:cs="Arial"/>
                <w:sz w:val="23"/>
                <w:szCs w:val="23"/>
              </w:rPr>
              <w:t>Consultation</w:t>
            </w:r>
          </w:p>
        </w:tc>
      </w:tr>
      <w:tr w:rsidR="00A13521" w:rsidRPr="001A50F2" w14:paraId="4207AC84" w14:textId="77777777" w:rsidTr="00A13521">
        <w:tc>
          <w:tcPr>
            <w:tcW w:w="5665" w:type="dxa"/>
          </w:tcPr>
          <w:p w14:paraId="017539B8" w14:textId="77777777" w:rsidR="00A13521" w:rsidRDefault="00A13521" w:rsidP="0009484A">
            <w:pPr>
              <w:rPr>
                <w:rFonts w:cs="Arial"/>
                <w:sz w:val="23"/>
                <w:szCs w:val="23"/>
              </w:rPr>
            </w:pPr>
            <w:r w:rsidRPr="001A50F2">
              <w:rPr>
                <w:rFonts w:cs="Arial"/>
                <w:sz w:val="23"/>
                <w:szCs w:val="23"/>
              </w:rPr>
              <w:t>Head</w:t>
            </w:r>
            <w:r>
              <w:rPr>
                <w:rFonts w:cs="Arial"/>
                <w:sz w:val="23"/>
                <w:szCs w:val="23"/>
              </w:rPr>
              <w:t>s</w:t>
            </w:r>
            <w:r w:rsidRPr="001A50F2">
              <w:rPr>
                <w:rFonts w:cs="Arial"/>
                <w:sz w:val="23"/>
                <w:szCs w:val="23"/>
              </w:rPr>
              <w:t xml:space="preserve"> of Clinical Governance</w:t>
            </w:r>
            <w:r>
              <w:rPr>
                <w:rFonts w:cs="Arial"/>
                <w:sz w:val="23"/>
                <w:szCs w:val="23"/>
              </w:rPr>
              <w:t xml:space="preserve">: </w:t>
            </w:r>
          </w:p>
          <w:p w14:paraId="0933E79E" w14:textId="77777777" w:rsidR="00A13521" w:rsidRPr="001A50F2" w:rsidRDefault="00A13521" w:rsidP="0009484A">
            <w:pPr>
              <w:rPr>
                <w:rFonts w:cs="Arial"/>
                <w:sz w:val="23"/>
                <w:szCs w:val="23"/>
              </w:rPr>
            </w:pPr>
            <w:r>
              <w:rPr>
                <w:rFonts w:cs="Arial"/>
                <w:sz w:val="23"/>
                <w:szCs w:val="23"/>
              </w:rPr>
              <w:t>Patient Safety, Regulations and Quality</w:t>
            </w:r>
          </w:p>
        </w:tc>
        <w:tc>
          <w:tcPr>
            <w:tcW w:w="3351" w:type="dxa"/>
          </w:tcPr>
          <w:p w14:paraId="27494C7A" w14:textId="77777777" w:rsidR="00A13521" w:rsidRPr="001A50F2" w:rsidRDefault="00A13521" w:rsidP="0009484A">
            <w:pPr>
              <w:rPr>
                <w:rFonts w:cs="Arial"/>
                <w:sz w:val="23"/>
                <w:szCs w:val="23"/>
              </w:rPr>
            </w:pPr>
            <w:r w:rsidRPr="001A50F2">
              <w:rPr>
                <w:rFonts w:cs="Arial"/>
                <w:sz w:val="23"/>
                <w:szCs w:val="23"/>
              </w:rPr>
              <w:t>Consultation</w:t>
            </w:r>
          </w:p>
        </w:tc>
      </w:tr>
      <w:tr w:rsidR="00A13521" w:rsidRPr="001A50F2" w14:paraId="0BFCA297" w14:textId="77777777" w:rsidTr="00A13521">
        <w:tc>
          <w:tcPr>
            <w:tcW w:w="5665" w:type="dxa"/>
          </w:tcPr>
          <w:p w14:paraId="3B720B06" w14:textId="77777777" w:rsidR="00A13521" w:rsidRPr="001A50F2" w:rsidRDefault="00A13521" w:rsidP="0009484A">
            <w:pPr>
              <w:rPr>
                <w:rFonts w:cs="Arial"/>
                <w:sz w:val="23"/>
                <w:szCs w:val="23"/>
              </w:rPr>
            </w:pPr>
            <w:r>
              <w:rPr>
                <w:rFonts w:cs="Arial"/>
                <w:sz w:val="23"/>
                <w:szCs w:val="23"/>
              </w:rPr>
              <w:t xml:space="preserve">Quality &amp; Patient Safety Leads </w:t>
            </w:r>
          </w:p>
        </w:tc>
        <w:tc>
          <w:tcPr>
            <w:tcW w:w="3351" w:type="dxa"/>
          </w:tcPr>
          <w:p w14:paraId="211DB6DB" w14:textId="77777777" w:rsidR="00A13521" w:rsidRPr="001A50F2" w:rsidRDefault="00A13521" w:rsidP="0009484A">
            <w:pPr>
              <w:rPr>
                <w:rFonts w:cs="Arial"/>
                <w:sz w:val="23"/>
                <w:szCs w:val="23"/>
              </w:rPr>
            </w:pPr>
            <w:r w:rsidRPr="001A50F2">
              <w:rPr>
                <w:rFonts w:cs="Arial"/>
                <w:sz w:val="23"/>
                <w:szCs w:val="23"/>
              </w:rPr>
              <w:t>Consultation</w:t>
            </w:r>
          </w:p>
        </w:tc>
      </w:tr>
      <w:tr w:rsidR="00A13521" w:rsidRPr="001A50F2" w14:paraId="5D2C146D" w14:textId="77777777" w:rsidTr="00A13521">
        <w:tc>
          <w:tcPr>
            <w:tcW w:w="5665" w:type="dxa"/>
          </w:tcPr>
          <w:p w14:paraId="307B2A78" w14:textId="385B7E5B" w:rsidR="00A13521" w:rsidRDefault="00A13521" w:rsidP="00A13521">
            <w:pPr>
              <w:rPr>
                <w:rFonts w:cs="Arial"/>
                <w:sz w:val="23"/>
                <w:szCs w:val="23"/>
              </w:rPr>
            </w:pPr>
            <w:r w:rsidRPr="001A50F2">
              <w:rPr>
                <w:rFonts w:cs="Arial"/>
                <w:sz w:val="23"/>
                <w:szCs w:val="23"/>
              </w:rPr>
              <w:t>Deputy Director of Nursing Meeting</w:t>
            </w:r>
          </w:p>
        </w:tc>
        <w:tc>
          <w:tcPr>
            <w:tcW w:w="3351" w:type="dxa"/>
          </w:tcPr>
          <w:p w14:paraId="0019144A" w14:textId="290B3F14" w:rsidR="00A13521" w:rsidRPr="001A50F2" w:rsidRDefault="00A13521" w:rsidP="00A13521">
            <w:pPr>
              <w:rPr>
                <w:rFonts w:cs="Arial"/>
                <w:sz w:val="23"/>
                <w:szCs w:val="23"/>
              </w:rPr>
            </w:pPr>
            <w:r w:rsidRPr="001A50F2">
              <w:rPr>
                <w:rFonts w:cs="Arial"/>
                <w:sz w:val="23"/>
                <w:szCs w:val="23"/>
              </w:rPr>
              <w:t>Consultation</w:t>
            </w:r>
          </w:p>
        </w:tc>
      </w:tr>
      <w:tr w:rsidR="00A13521" w:rsidRPr="001A50F2" w14:paraId="2A1C91A3" w14:textId="77777777" w:rsidTr="00A13521">
        <w:tc>
          <w:tcPr>
            <w:tcW w:w="5665" w:type="dxa"/>
          </w:tcPr>
          <w:p w14:paraId="75F622B7" w14:textId="2E57B4C8" w:rsidR="00A13521" w:rsidRPr="001A50F2" w:rsidRDefault="00A13521" w:rsidP="00A13521">
            <w:pPr>
              <w:rPr>
                <w:rFonts w:cs="Arial"/>
                <w:sz w:val="23"/>
                <w:szCs w:val="23"/>
              </w:rPr>
            </w:pPr>
            <w:r>
              <w:rPr>
                <w:rFonts w:cs="Arial"/>
                <w:sz w:val="23"/>
                <w:szCs w:val="23"/>
              </w:rPr>
              <w:t>Trustwide Incident Review Group</w:t>
            </w:r>
          </w:p>
        </w:tc>
        <w:tc>
          <w:tcPr>
            <w:tcW w:w="3351" w:type="dxa"/>
          </w:tcPr>
          <w:p w14:paraId="7E9EB898" w14:textId="239F1CB0" w:rsidR="00A13521" w:rsidRPr="001A50F2" w:rsidRDefault="00A13521" w:rsidP="00A13521">
            <w:pPr>
              <w:rPr>
                <w:rFonts w:cs="Arial"/>
                <w:sz w:val="23"/>
                <w:szCs w:val="23"/>
              </w:rPr>
            </w:pPr>
            <w:r>
              <w:rPr>
                <w:rFonts w:cs="Arial"/>
                <w:sz w:val="23"/>
                <w:szCs w:val="23"/>
              </w:rPr>
              <w:t>Consultation</w:t>
            </w:r>
          </w:p>
        </w:tc>
      </w:tr>
      <w:tr w:rsidR="00A13521" w:rsidRPr="001A50F2" w14:paraId="0AB97D4B" w14:textId="77777777" w:rsidTr="00A13521">
        <w:tc>
          <w:tcPr>
            <w:tcW w:w="5665" w:type="dxa"/>
          </w:tcPr>
          <w:p w14:paraId="250BDBC7" w14:textId="6526D5EF" w:rsidR="00A13521" w:rsidRPr="001A50F2" w:rsidRDefault="00A13521" w:rsidP="00A13521">
            <w:pPr>
              <w:tabs>
                <w:tab w:val="center" w:pos="4513"/>
                <w:tab w:val="right" w:pos="9026"/>
              </w:tabs>
              <w:spacing w:before="0"/>
              <w:jc w:val="left"/>
              <w:rPr>
                <w:rFonts w:cs="Arial"/>
                <w:sz w:val="23"/>
                <w:szCs w:val="23"/>
              </w:rPr>
            </w:pPr>
            <w:r w:rsidRPr="001A50F2">
              <w:rPr>
                <w:rFonts w:cs="Arial"/>
                <w:sz w:val="23"/>
                <w:szCs w:val="23"/>
              </w:rPr>
              <w:t>Learning from Incidents and Mortality Meeting</w:t>
            </w:r>
            <w:r>
              <w:rPr>
                <w:rFonts w:cs="Arial"/>
                <w:iCs/>
                <w:sz w:val="24"/>
              </w:rPr>
              <w:t xml:space="preserve"> </w:t>
            </w:r>
          </w:p>
        </w:tc>
        <w:tc>
          <w:tcPr>
            <w:tcW w:w="3351" w:type="dxa"/>
          </w:tcPr>
          <w:p w14:paraId="52FB38A9" w14:textId="77777777" w:rsidR="00A13521" w:rsidRPr="001A50F2" w:rsidRDefault="00A13521" w:rsidP="00A13521">
            <w:pPr>
              <w:rPr>
                <w:rFonts w:cs="Arial"/>
                <w:sz w:val="23"/>
                <w:szCs w:val="23"/>
              </w:rPr>
            </w:pPr>
            <w:r w:rsidRPr="001A50F2">
              <w:rPr>
                <w:rFonts w:cs="Arial"/>
                <w:sz w:val="23"/>
                <w:szCs w:val="23"/>
              </w:rPr>
              <w:t>Approval</w:t>
            </w:r>
          </w:p>
        </w:tc>
      </w:tr>
      <w:tr w:rsidR="00A13521" w:rsidRPr="001A50F2" w14:paraId="3EBE8047" w14:textId="77777777" w:rsidTr="00A13521">
        <w:tc>
          <w:tcPr>
            <w:tcW w:w="5665" w:type="dxa"/>
          </w:tcPr>
          <w:p w14:paraId="09086E2E" w14:textId="77777777" w:rsidR="00A13521" w:rsidRPr="001A50F2" w:rsidRDefault="00A13521" w:rsidP="00A13521">
            <w:pPr>
              <w:rPr>
                <w:rFonts w:cs="Arial"/>
                <w:sz w:val="23"/>
                <w:szCs w:val="23"/>
              </w:rPr>
            </w:pPr>
            <w:r w:rsidRPr="001A50F2">
              <w:rPr>
                <w:rFonts w:cs="Arial"/>
                <w:sz w:val="23"/>
                <w:szCs w:val="23"/>
              </w:rPr>
              <w:t xml:space="preserve">Policies and Procedures Group </w:t>
            </w:r>
          </w:p>
        </w:tc>
        <w:tc>
          <w:tcPr>
            <w:tcW w:w="3351" w:type="dxa"/>
          </w:tcPr>
          <w:p w14:paraId="23779C93" w14:textId="77777777" w:rsidR="00A13521" w:rsidRPr="001A50F2" w:rsidRDefault="00A13521" w:rsidP="00A13521">
            <w:pPr>
              <w:rPr>
                <w:rFonts w:cs="Arial"/>
                <w:sz w:val="23"/>
                <w:szCs w:val="23"/>
              </w:rPr>
            </w:pPr>
            <w:r w:rsidRPr="001A50F2">
              <w:rPr>
                <w:rFonts w:cs="Arial"/>
                <w:sz w:val="23"/>
                <w:szCs w:val="23"/>
              </w:rPr>
              <w:t>Ratification</w:t>
            </w:r>
          </w:p>
        </w:tc>
      </w:tr>
    </w:tbl>
    <w:p w14:paraId="010CBEAC" w14:textId="13BBAA3B" w:rsidR="007C507D" w:rsidRDefault="007C507D" w:rsidP="007C507D">
      <w:pPr>
        <w:spacing w:before="0" w:line="276" w:lineRule="auto"/>
        <w:jc w:val="left"/>
        <w:rPr>
          <w:rFonts w:cs="Arial"/>
          <w:b/>
          <w:bCs/>
          <w:sz w:val="24"/>
        </w:rPr>
      </w:pPr>
    </w:p>
    <w:p w14:paraId="217E5B4D" w14:textId="07814AFE" w:rsidR="00A13521" w:rsidRDefault="00A13521" w:rsidP="007C507D">
      <w:pPr>
        <w:spacing w:before="0" w:line="276" w:lineRule="auto"/>
        <w:jc w:val="left"/>
        <w:rPr>
          <w:rFonts w:cs="Arial"/>
          <w:b/>
          <w:bCs/>
          <w:sz w:val="24"/>
        </w:rPr>
      </w:pPr>
    </w:p>
    <w:p w14:paraId="010CBEAD" w14:textId="77777777" w:rsidR="007C507D" w:rsidRPr="00C2247C" w:rsidRDefault="007C507D" w:rsidP="007C507D">
      <w:pPr>
        <w:spacing w:before="0" w:after="0"/>
        <w:rPr>
          <w:rFonts w:cs="Arial"/>
          <w:b/>
          <w:sz w:val="24"/>
        </w:rPr>
      </w:pPr>
      <w:r w:rsidRPr="00C2247C">
        <w:rPr>
          <w:rFonts w:cs="Arial"/>
          <w:b/>
          <w:sz w:val="24"/>
        </w:rPr>
        <w:t>4</w:t>
      </w:r>
      <w:r w:rsidRPr="00C2247C">
        <w:rPr>
          <w:rFonts w:cs="Arial"/>
          <w:b/>
          <w:sz w:val="24"/>
        </w:rPr>
        <w:tab/>
        <w:t>REFERENCES, EVIDENCE BASE</w:t>
      </w:r>
    </w:p>
    <w:p w14:paraId="19987879" w14:textId="77777777" w:rsidR="007C2FA5" w:rsidRPr="00C2247C" w:rsidRDefault="007C2FA5" w:rsidP="007C2FA5">
      <w:pPr>
        <w:rPr>
          <w:rFonts w:cs="Arial"/>
          <w:sz w:val="24"/>
        </w:rPr>
      </w:pPr>
      <w:r w:rsidRPr="00C2247C">
        <w:rPr>
          <w:rFonts w:cs="Arial"/>
          <w:sz w:val="24"/>
        </w:rPr>
        <w:t>National documents:</w:t>
      </w:r>
    </w:p>
    <w:bookmarkStart w:id="1" w:name="_Hlk129685313"/>
    <w:p w14:paraId="095271EF" w14:textId="77777777" w:rsidR="007C2FA5" w:rsidRPr="00C2247C" w:rsidRDefault="00ED34A1" w:rsidP="008168F1">
      <w:pPr>
        <w:pStyle w:val="ListParagraph"/>
        <w:numPr>
          <w:ilvl w:val="0"/>
          <w:numId w:val="13"/>
        </w:numPr>
        <w:rPr>
          <w:rFonts w:cs="Arial"/>
          <w:sz w:val="24"/>
        </w:rPr>
      </w:pPr>
      <w:r>
        <w:fldChar w:fldCharType="begin"/>
      </w:r>
      <w:r>
        <w:instrText>HYPERLINK "https://www.england.nhs.uk/publication/patient-safety-incident-response-framework-and-supporting-guidance/%23heading-1"</w:instrText>
      </w:r>
      <w:r>
        <w:fldChar w:fldCharType="separate"/>
      </w:r>
      <w:r w:rsidR="007C2FA5" w:rsidRPr="00C2247C">
        <w:rPr>
          <w:rStyle w:val="Hyperlink"/>
          <w:rFonts w:cs="Arial"/>
          <w:sz w:val="24"/>
        </w:rPr>
        <w:t>Patient Safety Incident Response Framework</w:t>
      </w:r>
      <w:r>
        <w:rPr>
          <w:rStyle w:val="Hyperlink"/>
          <w:rFonts w:cs="Arial"/>
          <w:sz w:val="24"/>
        </w:rPr>
        <w:fldChar w:fldCharType="end"/>
      </w:r>
    </w:p>
    <w:p w14:paraId="3AE9853D" w14:textId="77777777" w:rsidR="007C2FA5" w:rsidRPr="00C2247C" w:rsidRDefault="00000000" w:rsidP="008168F1">
      <w:pPr>
        <w:pStyle w:val="ListParagraph"/>
        <w:numPr>
          <w:ilvl w:val="0"/>
          <w:numId w:val="13"/>
        </w:numPr>
        <w:rPr>
          <w:rFonts w:cs="Arial"/>
          <w:sz w:val="24"/>
        </w:rPr>
      </w:pPr>
      <w:hyperlink r:id="rId17" w:history="1">
        <w:r w:rsidR="007C2FA5" w:rsidRPr="00C2247C">
          <w:rPr>
            <w:rFonts w:cs="Arial"/>
            <w:color w:val="0000FF"/>
            <w:sz w:val="24"/>
            <w:u w:val="single"/>
          </w:rPr>
          <w:t>NHS England » Learning from deaths in the NHS</w:t>
        </w:r>
      </w:hyperlink>
    </w:p>
    <w:p w14:paraId="2BA93D78" w14:textId="153379B3" w:rsidR="007C2FA5" w:rsidRPr="00C2247C" w:rsidRDefault="00000000" w:rsidP="008168F1">
      <w:pPr>
        <w:pStyle w:val="ListParagraph"/>
        <w:numPr>
          <w:ilvl w:val="0"/>
          <w:numId w:val="17"/>
        </w:numPr>
        <w:autoSpaceDE w:val="0"/>
        <w:autoSpaceDN w:val="0"/>
        <w:adjustRightInd w:val="0"/>
        <w:spacing w:before="60" w:after="60"/>
        <w:rPr>
          <w:rFonts w:eastAsiaTheme="minorHAnsi" w:cs="Arial"/>
          <w:color w:val="000000"/>
          <w:sz w:val="24"/>
        </w:rPr>
      </w:pPr>
      <w:hyperlink r:id="rId18" w:history="1">
        <w:r w:rsidR="007C2FA5" w:rsidRPr="00C2247C">
          <w:rPr>
            <w:rStyle w:val="Hyperlink"/>
            <w:rFonts w:eastAsiaTheme="minorHAnsi" w:cs="Arial"/>
            <w:sz w:val="24"/>
          </w:rPr>
          <w:t>Care Quality Commission (CQC) (2016</w:t>
        </w:r>
        <w:proofErr w:type="gramStart"/>
        <w:r w:rsidR="007C2FA5" w:rsidRPr="00C2247C">
          <w:rPr>
            <w:rStyle w:val="Hyperlink"/>
            <w:rFonts w:eastAsiaTheme="minorHAnsi" w:cs="Arial"/>
            <w:sz w:val="24"/>
          </w:rPr>
          <w:t xml:space="preserve">)  </w:t>
        </w:r>
        <w:r w:rsidR="007C2FA5" w:rsidRPr="00C2247C">
          <w:rPr>
            <w:rStyle w:val="Hyperlink"/>
            <w:rFonts w:eastAsiaTheme="minorHAnsi" w:cs="Arial"/>
            <w:iCs/>
            <w:sz w:val="24"/>
          </w:rPr>
          <w:t>Learning</w:t>
        </w:r>
        <w:proofErr w:type="gramEnd"/>
        <w:r w:rsidR="007C2FA5" w:rsidRPr="00C2247C">
          <w:rPr>
            <w:rStyle w:val="Hyperlink"/>
            <w:rFonts w:eastAsiaTheme="minorHAnsi" w:cs="Arial"/>
            <w:iCs/>
            <w:sz w:val="24"/>
          </w:rPr>
          <w:t xml:space="preserve">, </w:t>
        </w:r>
        <w:r w:rsidR="002B213B" w:rsidRPr="00C2247C">
          <w:rPr>
            <w:rStyle w:val="Hyperlink"/>
            <w:rFonts w:eastAsiaTheme="minorHAnsi" w:cs="Arial"/>
            <w:iCs/>
            <w:sz w:val="24"/>
          </w:rPr>
          <w:t>candour,</w:t>
        </w:r>
        <w:r w:rsidR="007C2FA5" w:rsidRPr="00C2247C">
          <w:rPr>
            <w:rStyle w:val="Hyperlink"/>
            <w:rFonts w:eastAsiaTheme="minorHAnsi" w:cs="Arial"/>
            <w:iCs/>
            <w:sz w:val="24"/>
          </w:rPr>
          <w:t xml:space="preserve"> and accountability: a review of the way NHS trusts review and investigate the deaths of patients in England</w:t>
        </w:r>
      </w:hyperlink>
      <w:r w:rsidR="007C2FA5" w:rsidRPr="00C2247C">
        <w:rPr>
          <w:rFonts w:eastAsiaTheme="minorHAnsi" w:cs="Arial"/>
          <w:i/>
          <w:iCs/>
          <w:color w:val="000000"/>
          <w:sz w:val="24"/>
        </w:rPr>
        <w:t xml:space="preserve"> </w:t>
      </w:r>
    </w:p>
    <w:p w14:paraId="16A7E2F0" w14:textId="77777777" w:rsidR="007C2FA5" w:rsidRPr="00C2247C" w:rsidRDefault="00000000" w:rsidP="008168F1">
      <w:pPr>
        <w:pStyle w:val="ListParagraph"/>
        <w:numPr>
          <w:ilvl w:val="0"/>
          <w:numId w:val="17"/>
        </w:numPr>
        <w:spacing w:before="60" w:after="60"/>
        <w:rPr>
          <w:rFonts w:cs="Arial"/>
          <w:bCs/>
          <w:color w:val="FF0000"/>
          <w:kern w:val="36"/>
          <w:sz w:val="24"/>
        </w:rPr>
      </w:pPr>
      <w:hyperlink r:id="rId19" w:history="1">
        <w:r w:rsidR="007C2FA5" w:rsidRPr="00C2247C">
          <w:rPr>
            <w:rStyle w:val="Hyperlink"/>
            <w:rFonts w:cs="Arial"/>
            <w:bCs/>
            <w:kern w:val="36"/>
            <w:sz w:val="24"/>
          </w:rPr>
          <w:t xml:space="preserve">National Quality Board (2017) National Guidance on Learning from Deaths </w:t>
        </w:r>
      </w:hyperlink>
    </w:p>
    <w:p w14:paraId="41B9C975" w14:textId="77777777" w:rsidR="007C2FA5" w:rsidRPr="00C2247C" w:rsidRDefault="00000000" w:rsidP="008168F1">
      <w:pPr>
        <w:pStyle w:val="ListParagraph"/>
        <w:numPr>
          <w:ilvl w:val="0"/>
          <w:numId w:val="17"/>
        </w:numPr>
        <w:spacing w:before="60" w:after="60"/>
        <w:rPr>
          <w:rFonts w:cs="Arial"/>
          <w:bCs/>
          <w:color w:val="FF0000"/>
          <w:kern w:val="36"/>
          <w:sz w:val="24"/>
        </w:rPr>
      </w:pPr>
      <w:hyperlink r:id="rId20" w:history="1">
        <w:r w:rsidR="007C2FA5" w:rsidRPr="00C2247C">
          <w:rPr>
            <w:rStyle w:val="Hyperlink"/>
            <w:rFonts w:cs="Arial"/>
            <w:bCs/>
            <w:kern w:val="36"/>
            <w:sz w:val="24"/>
          </w:rPr>
          <w:t xml:space="preserve">NHSE Serious Incident Framework (2015): </w:t>
        </w:r>
        <w:r w:rsidR="007C2FA5" w:rsidRPr="00C2247C">
          <w:rPr>
            <w:rStyle w:val="Hyperlink"/>
            <w:rFonts w:cs="Arial"/>
            <w:sz w:val="24"/>
          </w:rPr>
          <w:t>Supporting learning to prevent recurrence</w:t>
        </w:r>
      </w:hyperlink>
    </w:p>
    <w:p w14:paraId="0F727728" w14:textId="77777777" w:rsidR="007C2FA5" w:rsidRPr="00C2247C" w:rsidRDefault="00000000" w:rsidP="008168F1">
      <w:pPr>
        <w:pStyle w:val="ListParagraph"/>
        <w:numPr>
          <w:ilvl w:val="0"/>
          <w:numId w:val="17"/>
        </w:numPr>
        <w:spacing w:before="60" w:after="60"/>
        <w:rPr>
          <w:rFonts w:cs="Arial"/>
          <w:bCs/>
          <w:color w:val="FF0000"/>
          <w:kern w:val="36"/>
          <w:sz w:val="24"/>
        </w:rPr>
      </w:pPr>
      <w:hyperlink r:id="rId21" w:history="1">
        <w:r w:rsidR="007C2FA5" w:rsidRPr="00C2247C">
          <w:rPr>
            <w:rStyle w:val="Hyperlink"/>
            <w:rFonts w:cs="Arial"/>
            <w:bCs/>
            <w:kern w:val="36"/>
            <w:sz w:val="24"/>
          </w:rPr>
          <w:t>CQC Regulation 20: Duty of Candour (2014</w:t>
        </w:r>
      </w:hyperlink>
      <w:r w:rsidR="007C2FA5" w:rsidRPr="00C2247C">
        <w:rPr>
          <w:rStyle w:val="Hyperlink"/>
          <w:rFonts w:cs="Arial"/>
          <w:bCs/>
          <w:kern w:val="36"/>
          <w:sz w:val="24"/>
        </w:rPr>
        <w:t>)</w:t>
      </w:r>
    </w:p>
    <w:p w14:paraId="3551F15B" w14:textId="77777777" w:rsidR="007C2FA5" w:rsidRPr="00C2247C" w:rsidRDefault="00000000" w:rsidP="008168F1">
      <w:pPr>
        <w:pStyle w:val="ListParagraph"/>
        <w:numPr>
          <w:ilvl w:val="0"/>
          <w:numId w:val="17"/>
        </w:numPr>
        <w:spacing w:before="60" w:after="60"/>
        <w:rPr>
          <w:rFonts w:cs="Arial"/>
          <w:sz w:val="24"/>
        </w:rPr>
      </w:pPr>
      <w:hyperlink r:id="rId22" w:history="1">
        <w:r w:rsidR="007C2FA5" w:rsidRPr="00C2247C">
          <w:rPr>
            <w:rStyle w:val="Hyperlink"/>
            <w:rFonts w:cs="Arial"/>
            <w:sz w:val="24"/>
            <w:lang w:val="en"/>
          </w:rPr>
          <w:t>Working Together to Safeguard Children.</w:t>
        </w:r>
      </w:hyperlink>
      <w:r w:rsidR="007C2FA5" w:rsidRPr="00C2247C">
        <w:rPr>
          <w:rStyle w:val="Hyperlink"/>
          <w:rFonts w:cs="Arial"/>
          <w:sz w:val="24"/>
          <w:lang w:val="en"/>
        </w:rPr>
        <w:t xml:space="preserve"> (2015)</w:t>
      </w:r>
    </w:p>
    <w:p w14:paraId="23A4EFE6" w14:textId="77777777" w:rsidR="007C2FA5" w:rsidRPr="00C2247C" w:rsidRDefault="00000000" w:rsidP="008168F1">
      <w:pPr>
        <w:pStyle w:val="ListParagraph"/>
        <w:numPr>
          <w:ilvl w:val="0"/>
          <w:numId w:val="17"/>
        </w:numPr>
        <w:spacing w:before="60" w:after="60"/>
        <w:rPr>
          <w:rStyle w:val="Hyperlink"/>
          <w:rFonts w:cs="Arial"/>
          <w:bCs/>
          <w:kern w:val="36"/>
          <w:sz w:val="24"/>
        </w:rPr>
      </w:pPr>
      <w:hyperlink r:id="rId23" w:history="1">
        <w:r w:rsidR="007C2FA5" w:rsidRPr="00C2247C">
          <w:rPr>
            <w:rStyle w:val="Hyperlink"/>
            <w:rFonts w:cs="Arial"/>
            <w:bCs/>
            <w:kern w:val="36"/>
            <w:sz w:val="24"/>
          </w:rPr>
          <w:t>The Department for Education' forms for reporting child deaths</w:t>
        </w:r>
      </w:hyperlink>
      <w:r w:rsidR="007C2FA5" w:rsidRPr="00C2247C">
        <w:rPr>
          <w:rStyle w:val="Hyperlink"/>
          <w:rFonts w:cs="Arial"/>
          <w:bCs/>
          <w:kern w:val="36"/>
          <w:sz w:val="24"/>
        </w:rPr>
        <w:t xml:space="preserve"> </w:t>
      </w:r>
    </w:p>
    <w:p w14:paraId="09941B1B" w14:textId="25E130D0" w:rsidR="007C2FA5" w:rsidRPr="00C2247C" w:rsidRDefault="00000000" w:rsidP="008168F1">
      <w:pPr>
        <w:pStyle w:val="ListParagraph"/>
        <w:numPr>
          <w:ilvl w:val="0"/>
          <w:numId w:val="17"/>
        </w:numPr>
        <w:autoSpaceDE w:val="0"/>
        <w:autoSpaceDN w:val="0"/>
        <w:spacing w:before="60" w:after="60"/>
        <w:rPr>
          <w:rFonts w:cs="Arial"/>
          <w:color w:val="FF0000"/>
          <w:sz w:val="24"/>
          <w:shd w:val="clear" w:color="auto" w:fill="FFFFFF"/>
        </w:rPr>
      </w:pPr>
      <w:hyperlink r:id="rId24" w:history="1">
        <w:r w:rsidR="007C2FA5" w:rsidRPr="00C2247C">
          <w:rPr>
            <w:rStyle w:val="Hyperlink"/>
            <w:rFonts w:cs="Arial"/>
            <w:sz w:val="24"/>
          </w:rPr>
          <w:t>National Quality Board (July 2018</w:t>
        </w:r>
        <w:r w:rsidR="00100A69" w:rsidRPr="00C2247C">
          <w:rPr>
            <w:rStyle w:val="Hyperlink"/>
            <w:rFonts w:cs="Arial"/>
            <w:sz w:val="24"/>
          </w:rPr>
          <w:t xml:space="preserve">) </w:t>
        </w:r>
        <w:r w:rsidR="00100A69" w:rsidRPr="00C2247C">
          <w:rPr>
            <w:rStyle w:val="Hyperlink"/>
            <w:rFonts w:eastAsiaTheme="minorHAnsi" w:cs="Arial"/>
            <w:sz w:val="24"/>
          </w:rPr>
          <w:t>Learning</w:t>
        </w:r>
        <w:r w:rsidR="007C2FA5" w:rsidRPr="00C2247C">
          <w:rPr>
            <w:rStyle w:val="Hyperlink"/>
            <w:rFonts w:eastAsiaTheme="minorHAnsi" w:cs="Arial"/>
            <w:bCs/>
            <w:sz w:val="24"/>
          </w:rPr>
          <w:t xml:space="preserve"> from deaths - Guidance for NHS trusts on working with bereaved families and carers</w:t>
        </w:r>
      </w:hyperlink>
      <w:r w:rsidR="007C2FA5" w:rsidRPr="00C2247C">
        <w:rPr>
          <w:rFonts w:eastAsiaTheme="minorHAnsi" w:cs="Arial"/>
          <w:bCs/>
          <w:color w:val="000000"/>
          <w:sz w:val="24"/>
        </w:rPr>
        <w:t xml:space="preserve"> </w:t>
      </w:r>
    </w:p>
    <w:p w14:paraId="11E09867" w14:textId="77777777" w:rsidR="007C2FA5" w:rsidRPr="00C2247C" w:rsidRDefault="00000000" w:rsidP="008168F1">
      <w:pPr>
        <w:pStyle w:val="ListParagraph"/>
        <w:numPr>
          <w:ilvl w:val="0"/>
          <w:numId w:val="17"/>
        </w:numPr>
        <w:autoSpaceDE w:val="0"/>
        <w:autoSpaceDN w:val="0"/>
        <w:spacing w:before="60" w:after="60"/>
        <w:rPr>
          <w:rFonts w:cs="Arial"/>
          <w:color w:val="FF0000"/>
          <w:sz w:val="24"/>
          <w:shd w:val="clear" w:color="auto" w:fill="FFFFFF"/>
        </w:rPr>
      </w:pPr>
      <w:hyperlink r:id="rId25" w:history="1">
        <w:r w:rsidR="007C2FA5" w:rsidRPr="00C2247C">
          <w:rPr>
            <w:rStyle w:val="Hyperlink"/>
            <w:rFonts w:cs="Arial"/>
            <w:sz w:val="24"/>
          </w:rPr>
          <w:t>Royal College of Psychiatrists (2018) Care Review Tool for Mortality</w:t>
        </w:r>
      </w:hyperlink>
      <w:r w:rsidR="007C2FA5" w:rsidRPr="00C2247C">
        <w:rPr>
          <w:rFonts w:cs="Arial"/>
          <w:sz w:val="24"/>
        </w:rPr>
        <w:t xml:space="preserve"> </w:t>
      </w:r>
    </w:p>
    <w:p w14:paraId="704366BB" w14:textId="77777777" w:rsidR="007C2FA5" w:rsidRPr="00C2247C" w:rsidRDefault="00000000" w:rsidP="008168F1">
      <w:pPr>
        <w:pStyle w:val="ListParagraph"/>
        <w:numPr>
          <w:ilvl w:val="0"/>
          <w:numId w:val="17"/>
        </w:numPr>
        <w:autoSpaceDE w:val="0"/>
        <w:autoSpaceDN w:val="0"/>
        <w:spacing w:before="60" w:after="60"/>
        <w:rPr>
          <w:rFonts w:cs="Arial"/>
          <w:color w:val="FF0000"/>
          <w:sz w:val="24"/>
          <w:shd w:val="clear" w:color="auto" w:fill="FFFFFF"/>
        </w:rPr>
      </w:pPr>
      <w:hyperlink r:id="rId26" w:history="1">
        <w:r w:rsidR="007C2FA5" w:rsidRPr="00C2247C">
          <w:rPr>
            <w:rStyle w:val="Hyperlink"/>
            <w:rFonts w:cs="Arial"/>
            <w:sz w:val="24"/>
          </w:rPr>
          <w:t xml:space="preserve">Royal College of Physicians (2018) Mortality toolkit: Implementing structured judgement reviews for improvement </w:t>
        </w:r>
      </w:hyperlink>
      <w:r w:rsidR="007C2FA5" w:rsidRPr="00C2247C">
        <w:rPr>
          <w:rFonts w:cs="Arial"/>
          <w:sz w:val="24"/>
        </w:rPr>
        <w:t xml:space="preserve"> </w:t>
      </w:r>
    </w:p>
    <w:bookmarkEnd w:id="1"/>
    <w:p w14:paraId="010CBEAE" w14:textId="51E1BBB0" w:rsidR="007C507D" w:rsidRDefault="007C507D" w:rsidP="007C507D">
      <w:pPr>
        <w:spacing w:before="0" w:after="0"/>
        <w:ind w:left="709"/>
        <w:rPr>
          <w:rFonts w:cs="Arial"/>
          <w:sz w:val="24"/>
        </w:rPr>
      </w:pPr>
    </w:p>
    <w:p w14:paraId="5BEA3B49" w14:textId="77777777" w:rsidR="00EC4F68" w:rsidRPr="00C2247C" w:rsidRDefault="00EC4F68" w:rsidP="007C507D">
      <w:pPr>
        <w:spacing w:before="0" w:after="0"/>
        <w:ind w:left="709"/>
        <w:rPr>
          <w:rFonts w:cs="Arial"/>
          <w:sz w:val="24"/>
        </w:rPr>
      </w:pPr>
    </w:p>
    <w:p w14:paraId="010CBEB0" w14:textId="77777777" w:rsidR="007C507D" w:rsidRPr="00C2247C" w:rsidRDefault="007C507D" w:rsidP="007C507D">
      <w:pPr>
        <w:keepNext/>
        <w:keepLines/>
        <w:spacing w:before="0" w:after="0"/>
        <w:outlineLvl w:val="8"/>
        <w:rPr>
          <w:rFonts w:eastAsiaTheme="majorEastAsia" w:cs="Arial"/>
          <w:b/>
          <w:bCs/>
          <w:iCs/>
          <w:sz w:val="24"/>
        </w:rPr>
      </w:pPr>
      <w:r w:rsidRPr="00C2247C">
        <w:rPr>
          <w:rFonts w:eastAsiaTheme="majorEastAsia" w:cs="Arial"/>
          <w:b/>
          <w:bCs/>
          <w:iCs/>
          <w:sz w:val="24"/>
        </w:rPr>
        <w:lastRenderedPageBreak/>
        <w:t>5</w:t>
      </w:r>
      <w:r w:rsidRPr="00C2247C">
        <w:rPr>
          <w:rFonts w:eastAsiaTheme="majorEastAsia" w:cs="Arial"/>
          <w:b/>
          <w:bCs/>
          <w:iCs/>
          <w:sz w:val="24"/>
        </w:rPr>
        <w:tab/>
        <w:t>ASSOCIATED DOCUMENTATION</w:t>
      </w:r>
      <w:r w:rsidR="00B377C2" w:rsidRPr="00C2247C">
        <w:rPr>
          <w:rFonts w:eastAsiaTheme="majorEastAsia" w:cs="Arial"/>
          <w:b/>
          <w:bCs/>
          <w:iCs/>
          <w:sz w:val="24"/>
        </w:rPr>
        <w:t xml:space="preserve"> (if relevant)</w:t>
      </w:r>
    </w:p>
    <w:p w14:paraId="010CBEB1" w14:textId="77777777" w:rsidR="00A7272A" w:rsidRPr="00C2247C" w:rsidRDefault="00A7272A" w:rsidP="00A7272A">
      <w:pPr>
        <w:ind w:left="720"/>
        <w:rPr>
          <w:rFonts w:cs="Arial"/>
          <w:sz w:val="24"/>
        </w:rPr>
      </w:pPr>
      <w:r w:rsidRPr="00C2247C">
        <w:rPr>
          <w:rFonts w:cs="Arial"/>
          <w:sz w:val="24"/>
        </w:rPr>
        <w:t>RM-0002 – The Management of Incidents Including Serious Incidents Procedure</w:t>
      </w:r>
      <w:r w:rsidR="000854E7" w:rsidRPr="00C2247C">
        <w:rPr>
          <w:rFonts w:cs="Arial"/>
          <w:sz w:val="24"/>
        </w:rPr>
        <w:tab/>
      </w:r>
    </w:p>
    <w:p w14:paraId="010CBEB2" w14:textId="7F56406B" w:rsidR="00A7272A" w:rsidRDefault="00A7272A" w:rsidP="00A7272A">
      <w:pPr>
        <w:ind w:left="720"/>
        <w:rPr>
          <w:rFonts w:cs="Arial"/>
          <w:sz w:val="24"/>
        </w:rPr>
      </w:pPr>
      <w:r w:rsidRPr="00C2247C">
        <w:rPr>
          <w:rFonts w:cs="Arial"/>
          <w:sz w:val="24"/>
        </w:rPr>
        <w:t xml:space="preserve">C-0060 </w:t>
      </w:r>
      <w:r w:rsidR="00406295" w:rsidRPr="00C2247C">
        <w:rPr>
          <w:rFonts w:cs="Arial"/>
          <w:sz w:val="24"/>
        </w:rPr>
        <w:t xml:space="preserve">– </w:t>
      </w:r>
      <w:r w:rsidR="00CF4896">
        <w:rPr>
          <w:rFonts w:cs="Arial"/>
          <w:sz w:val="24"/>
        </w:rPr>
        <w:t xml:space="preserve">Being Open and </w:t>
      </w:r>
      <w:r w:rsidR="00406295" w:rsidRPr="00C2247C">
        <w:rPr>
          <w:rFonts w:cs="Arial"/>
          <w:sz w:val="24"/>
        </w:rPr>
        <w:t>Duty</w:t>
      </w:r>
      <w:r w:rsidRPr="00C2247C">
        <w:rPr>
          <w:rFonts w:cs="Arial"/>
          <w:sz w:val="24"/>
        </w:rPr>
        <w:t xml:space="preserve"> of Candour Procedure</w:t>
      </w:r>
    </w:p>
    <w:p w14:paraId="723B8342" w14:textId="77777777" w:rsidR="004C02A6" w:rsidRDefault="004C02A6" w:rsidP="00FB5960">
      <w:pPr>
        <w:spacing w:before="0" w:after="0"/>
        <w:rPr>
          <w:rFonts w:cs="Arial"/>
          <w:b/>
          <w:sz w:val="24"/>
        </w:rPr>
      </w:pPr>
    </w:p>
    <w:p w14:paraId="010CBEBA" w14:textId="2F0BC96F" w:rsidR="007C507D" w:rsidRPr="00C2247C" w:rsidRDefault="007C507D" w:rsidP="00FB5960">
      <w:pPr>
        <w:spacing w:before="0" w:after="0"/>
        <w:rPr>
          <w:rFonts w:cs="Arial"/>
          <w:b/>
          <w:sz w:val="24"/>
        </w:rPr>
      </w:pPr>
      <w:r w:rsidRPr="00C2247C">
        <w:rPr>
          <w:rFonts w:cs="Arial"/>
          <w:b/>
          <w:sz w:val="24"/>
        </w:rPr>
        <w:t>6</w:t>
      </w:r>
      <w:r w:rsidRPr="00C2247C">
        <w:rPr>
          <w:rFonts w:cs="Arial"/>
          <w:b/>
          <w:sz w:val="24"/>
        </w:rPr>
        <w:tab/>
      </w:r>
      <w:r w:rsidR="00E95EB9" w:rsidRPr="00C2247C">
        <w:rPr>
          <w:rFonts w:cs="Arial"/>
          <w:b/>
          <w:sz w:val="24"/>
        </w:rPr>
        <w:t>STANDARDS/KEY PERFORMANCE INDICATORS</w:t>
      </w:r>
      <w:r w:rsidR="00B377C2" w:rsidRPr="00C2247C">
        <w:rPr>
          <w:rFonts w:cs="Arial"/>
          <w:b/>
          <w:sz w:val="24"/>
        </w:rPr>
        <w:t xml:space="preserve"> (if relevant)</w:t>
      </w:r>
    </w:p>
    <w:p w14:paraId="2F20B352" w14:textId="6BC41D41" w:rsidR="007C2FA5" w:rsidRPr="00C2247C" w:rsidRDefault="007C2FA5" w:rsidP="008168F1">
      <w:pPr>
        <w:pStyle w:val="ListParagraph"/>
        <w:numPr>
          <w:ilvl w:val="0"/>
          <w:numId w:val="18"/>
        </w:numPr>
        <w:spacing w:before="0" w:after="0"/>
        <w:rPr>
          <w:rFonts w:cs="Arial"/>
          <w:sz w:val="24"/>
        </w:rPr>
      </w:pPr>
      <w:r w:rsidRPr="00C2247C">
        <w:rPr>
          <w:rFonts w:cs="Arial"/>
          <w:sz w:val="24"/>
        </w:rPr>
        <w:t xml:space="preserve">Board oversight </w:t>
      </w:r>
      <w:r w:rsidR="002B213B" w:rsidRPr="00C2247C">
        <w:rPr>
          <w:rFonts w:cs="Arial"/>
          <w:sz w:val="24"/>
        </w:rPr>
        <w:t>quarterly</w:t>
      </w:r>
      <w:r w:rsidRPr="00C2247C">
        <w:rPr>
          <w:rFonts w:cs="Arial"/>
          <w:sz w:val="24"/>
        </w:rPr>
        <w:t xml:space="preserve"> and annually</w:t>
      </w:r>
    </w:p>
    <w:p w14:paraId="010CBEBE" w14:textId="1A60AB70" w:rsidR="00F62EE5" w:rsidRPr="00EC4F68" w:rsidRDefault="007C2FA5" w:rsidP="009C51BD">
      <w:pPr>
        <w:pStyle w:val="ListParagraph"/>
        <w:numPr>
          <w:ilvl w:val="0"/>
          <w:numId w:val="18"/>
        </w:numPr>
        <w:spacing w:before="0" w:after="0" w:line="276" w:lineRule="auto"/>
        <w:jc w:val="left"/>
        <w:rPr>
          <w:rFonts w:cs="Arial"/>
          <w:b/>
          <w:bCs/>
          <w:sz w:val="24"/>
        </w:rPr>
      </w:pPr>
      <w:r w:rsidRPr="00EC4F68">
        <w:rPr>
          <w:rFonts w:cs="Arial"/>
          <w:sz w:val="24"/>
        </w:rPr>
        <w:t>Evidence of learning and implementation of recommendations/actions.</w:t>
      </w:r>
    </w:p>
    <w:p w14:paraId="099DA1D6" w14:textId="77777777" w:rsidR="00EC4F68" w:rsidRPr="00EC4F68" w:rsidRDefault="00EC4F68" w:rsidP="00EC4F68">
      <w:pPr>
        <w:pStyle w:val="ListParagraph"/>
        <w:spacing w:before="0" w:after="0" w:line="276" w:lineRule="auto"/>
        <w:jc w:val="left"/>
        <w:rPr>
          <w:rFonts w:cs="Arial"/>
          <w:b/>
          <w:bCs/>
          <w:sz w:val="24"/>
        </w:rPr>
      </w:pPr>
    </w:p>
    <w:p w14:paraId="010CBEBF" w14:textId="77777777" w:rsidR="00F62EE5" w:rsidRPr="00C2247C" w:rsidRDefault="007C507D" w:rsidP="00235F49">
      <w:pPr>
        <w:spacing w:before="0" w:after="0"/>
        <w:jc w:val="left"/>
        <w:rPr>
          <w:rFonts w:cs="Arial"/>
          <w:sz w:val="24"/>
        </w:rPr>
      </w:pPr>
      <w:r w:rsidRPr="00C2247C">
        <w:rPr>
          <w:rFonts w:cs="Arial"/>
          <w:b/>
          <w:sz w:val="24"/>
        </w:rPr>
        <w:t>7.</w:t>
      </w:r>
      <w:r w:rsidR="000235E9" w:rsidRPr="00C2247C">
        <w:rPr>
          <w:rFonts w:cs="Arial"/>
          <w:b/>
          <w:sz w:val="24"/>
        </w:rPr>
        <w:tab/>
      </w:r>
      <w:r w:rsidR="00F62EE5" w:rsidRPr="00C2247C">
        <w:rPr>
          <w:rFonts w:cs="Arial"/>
          <w:b/>
          <w:sz w:val="24"/>
        </w:rPr>
        <w:t xml:space="preserve">EQUALITY IMPACT </w:t>
      </w:r>
    </w:p>
    <w:p w14:paraId="010CBEC0" w14:textId="77777777" w:rsidR="00F62EE5" w:rsidRPr="00C2247C" w:rsidRDefault="00F62EE5" w:rsidP="00F62EE5">
      <w:pPr>
        <w:tabs>
          <w:tab w:val="left" w:pos="4035"/>
        </w:tabs>
        <w:spacing w:before="0" w:after="0"/>
        <w:rPr>
          <w:rFonts w:cs="Arial"/>
          <w:sz w:val="24"/>
        </w:rPr>
      </w:pPr>
    </w:p>
    <w:p w14:paraId="010CBEC1" w14:textId="3446D159" w:rsidR="00B377C2" w:rsidRPr="00C2247C" w:rsidRDefault="00B377C2" w:rsidP="00B377C2">
      <w:pPr>
        <w:pStyle w:val="DHBulletlist"/>
        <w:numPr>
          <w:ilvl w:val="0"/>
          <w:numId w:val="0"/>
        </w:numPr>
        <w:tabs>
          <w:tab w:val="left" w:pos="720"/>
        </w:tabs>
        <w:rPr>
          <w:rFonts w:cs="Arial"/>
          <w:szCs w:val="24"/>
        </w:rPr>
      </w:pPr>
      <w:r w:rsidRPr="00C2247C">
        <w:rPr>
          <w:rFonts w:cs="Arial"/>
          <w:szCs w:val="24"/>
        </w:rP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r w:rsidR="00406295" w:rsidRPr="00C2247C">
        <w:rPr>
          <w:rFonts w:cs="Arial"/>
          <w:szCs w:val="24"/>
        </w:rPr>
        <w:t>procedure might</w:t>
      </w:r>
      <w:r w:rsidRPr="00C2247C">
        <w:rPr>
          <w:rFonts w:cs="Arial"/>
          <w:szCs w:val="24"/>
        </w:rPr>
        <w:t xml:space="preserve"> have on these requirements and on the nine protected groups identified by the Act (age, disability, gender reassignment, marriage and civil partnership, pregnancy and maternity, race, religion and belief, </w:t>
      </w:r>
      <w:r w:rsidR="002B213B" w:rsidRPr="00C2247C">
        <w:rPr>
          <w:rFonts w:cs="Arial"/>
          <w:szCs w:val="24"/>
        </w:rPr>
        <w:t>gender,</w:t>
      </w:r>
      <w:r w:rsidRPr="00C2247C">
        <w:rPr>
          <w:rFonts w:cs="Arial"/>
          <w:szCs w:val="24"/>
        </w:rPr>
        <w:t xml:space="preserve"> and sexual orientation).</w:t>
      </w:r>
    </w:p>
    <w:p w14:paraId="010CBEC2" w14:textId="77777777" w:rsidR="00B377C2" w:rsidRPr="00C2247C" w:rsidRDefault="00B377C2" w:rsidP="00B377C2">
      <w:pPr>
        <w:pStyle w:val="DHBulletlist"/>
        <w:numPr>
          <w:ilvl w:val="0"/>
          <w:numId w:val="0"/>
        </w:numPr>
        <w:tabs>
          <w:tab w:val="left" w:pos="720"/>
        </w:tabs>
        <w:rPr>
          <w:rFonts w:cs="Arial"/>
          <w:szCs w:val="24"/>
        </w:rPr>
      </w:pPr>
    </w:p>
    <w:p w14:paraId="010CBEC3" w14:textId="77777777" w:rsidR="00B377C2" w:rsidRPr="00C2247C" w:rsidRDefault="00B377C2" w:rsidP="00B377C2">
      <w:pPr>
        <w:pStyle w:val="DHBulletlist"/>
        <w:numPr>
          <w:ilvl w:val="0"/>
          <w:numId w:val="0"/>
        </w:numPr>
        <w:tabs>
          <w:tab w:val="left" w:pos="720"/>
        </w:tabs>
        <w:rPr>
          <w:rFonts w:cs="Arial"/>
          <w:szCs w:val="24"/>
        </w:rPr>
      </w:pPr>
      <w:r w:rsidRPr="00C2247C">
        <w:rPr>
          <w:rFonts w:cs="Arial"/>
          <w:szCs w:val="24"/>
        </w:rPr>
        <w:t>Declaration: The potential impacts on the application of this policy/procedure have been fully considered for all nine protected grou</w:t>
      </w:r>
      <w:r w:rsidR="004B3727" w:rsidRPr="00C2247C">
        <w:rPr>
          <w:rFonts w:cs="Arial"/>
          <w:szCs w:val="24"/>
        </w:rPr>
        <w:t>ps. Through this process I have not</w:t>
      </w:r>
      <w:r w:rsidRPr="00C2247C">
        <w:rPr>
          <w:rFonts w:cs="Arial"/>
          <w:szCs w:val="24"/>
        </w:rPr>
        <w:t xml:space="preserve"> identified</w:t>
      </w:r>
      <w:r w:rsidR="00406295" w:rsidRPr="00C2247C">
        <w:rPr>
          <w:rFonts w:cs="Arial"/>
          <w:szCs w:val="24"/>
        </w:rPr>
        <w:t> any</w:t>
      </w:r>
      <w:r w:rsidRPr="00C2247C">
        <w:rPr>
          <w:rFonts w:cs="Arial"/>
          <w:szCs w:val="24"/>
        </w:rPr>
        <w:t xml:space="preserve"> potential negative impacts for any of the nine protected groups.</w:t>
      </w:r>
    </w:p>
    <w:p w14:paraId="010CBEC4" w14:textId="77777777" w:rsidR="00B377C2" w:rsidRPr="00C2247C" w:rsidRDefault="00B377C2" w:rsidP="00B377C2">
      <w:pPr>
        <w:pStyle w:val="DHBulletlist"/>
        <w:numPr>
          <w:ilvl w:val="0"/>
          <w:numId w:val="0"/>
        </w:numPr>
        <w:tabs>
          <w:tab w:val="left" w:pos="720"/>
        </w:tabs>
        <w:rPr>
          <w:rFonts w:cs="Arial"/>
          <w:szCs w:val="24"/>
        </w:rPr>
      </w:pPr>
    </w:p>
    <w:p w14:paraId="010CBEC5" w14:textId="1B4A6463" w:rsidR="00B377C2" w:rsidRPr="00C2247C" w:rsidRDefault="00B377C2" w:rsidP="00B377C2">
      <w:pPr>
        <w:pStyle w:val="DHBulletlist"/>
        <w:numPr>
          <w:ilvl w:val="0"/>
          <w:numId w:val="0"/>
        </w:numPr>
        <w:tabs>
          <w:tab w:val="left" w:pos="720"/>
        </w:tabs>
        <w:rPr>
          <w:rFonts w:cs="Arial"/>
          <w:szCs w:val="24"/>
        </w:rPr>
      </w:pPr>
      <w:r w:rsidRPr="00C2247C">
        <w:rPr>
          <w:rFonts w:cs="Arial"/>
          <w:szCs w:val="24"/>
        </w:rPr>
        <w:t>Print name:</w:t>
      </w:r>
      <w:r w:rsidR="007255CC" w:rsidRPr="00C2247C">
        <w:rPr>
          <w:rFonts w:cs="Arial"/>
          <w:szCs w:val="24"/>
        </w:rPr>
        <w:t xml:space="preserve"> </w:t>
      </w:r>
      <w:r w:rsidR="007C2FA5" w:rsidRPr="00C2247C">
        <w:rPr>
          <w:rFonts w:cs="Arial"/>
          <w:szCs w:val="24"/>
        </w:rPr>
        <w:t xml:space="preserve">Cath Wardle </w:t>
      </w:r>
    </w:p>
    <w:p w14:paraId="010CBEC6" w14:textId="77777777" w:rsidR="00B377C2" w:rsidRPr="00C2247C" w:rsidRDefault="00B377C2" w:rsidP="00B377C2">
      <w:pPr>
        <w:pStyle w:val="DHBulletlist"/>
        <w:numPr>
          <w:ilvl w:val="0"/>
          <w:numId w:val="0"/>
        </w:numPr>
        <w:tabs>
          <w:tab w:val="left" w:pos="720"/>
        </w:tabs>
        <w:rPr>
          <w:rFonts w:cs="Arial"/>
          <w:szCs w:val="24"/>
        </w:rPr>
      </w:pPr>
    </w:p>
    <w:p w14:paraId="010CBEC7" w14:textId="380ECF36" w:rsidR="00B377C2" w:rsidRPr="00C2247C" w:rsidRDefault="00B377C2" w:rsidP="00B377C2">
      <w:pPr>
        <w:pStyle w:val="DHBulletlist"/>
        <w:numPr>
          <w:ilvl w:val="0"/>
          <w:numId w:val="0"/>
        </w:numPr>
        <w:tabs>
          <w:tab w:val="left" w:pos="720"/>
        </w:tabs>
        <w:rPr>
          <w:rFonts w:cs="Arial"/>
          <w:szCs w:val="24"/>
        </w:rPr>
      </w:pPr>
      <w:r w:rsidRPr="00C2247C">
        <w:rPr>
          <w:rFonts w:cs="Arial"/>
          <w:szCs w:val="24"/>
        </w:rPr>
        <w:t>Job title:</w:t>
      </w:r>
      <w:r w:rsidR="007255CC" w:rsidRPr="00C2247C">
        <w:rPr>
          <w:rFonts w:cs="Arial"/>
          <w:szCs w:val="24"/>
        </w:rPr>
        <w:t xml:space="preserve"> </w:t>
      </w:r>
      <w:r w:rsidR="007C2FA5" w:rsidRPr="00C2247C">
        <w:rPr>
          <w:rFonts w:cs="Arial"/>
          <w:szCs w:val="24"/>
        </w:rPr>
        <w:t>Head of Clinical Governance, Patient Safety</w:t>
      </w:r>
    </w:p>
    <w:p w14:paraId="010CBEC8" w14:textId="77777777" w:rsidR="00B377C2" w:rsidRPr="00C2247C" w:rsidRDefault="00B377C2" w:rsidP="00B377C2">
      <w:pPr>
        <w:pStyle w:val="DHBulletlist"/>
        <w:numPr>
          <w:ilvl w:val="0"/>
          <w:numId w:val="0"/>
        </w:numPr>
        <w:tabs>
          <w:tab w:val="left" w:pos="720"/>
        </w:tabs>
        <w:rPr>
          <w:rFonts w:cs="Arial"/>
          <w:szCs w:val="24"/>
        </w:rPr>
      </w:pPr>
    </w:p>
    <w:p w14:paraId="010CBEC9" w14:textId="73F4C270" w:rsidR="00B377C2" w:rsidRPr="00C2247C" w:rsidRDefault="00B377C2" w:rsidP="00B377C2">
      <w:pPr>
        <w:pStyle w:val="DHBulletlist"/>
        <w:numPr>
          <w:ilvl w:val="0"/>
          <w:numId w:val="0"/>
        </w:numPr>
        <w:tabs>
          <w:tab w:val="left" w:pos="720"/>
        </w:tabs>
        <w:rPr>
          <w:rFonts w:cs="Arial"/>
          <w:szCs w:val="24"/>
        </w:rPr>
      </w:pPr>
      <w:r w:rsidRPr="00C2247C">
        <w:rPr>
          <w:rFonts w:cs="Arial"/>
          <w:szCs w:val="24"/>
        </w:rPr>
        <w:t>Date:</w:t>
      </w:r>
      <w:r w:rsidR="000803F9" w:rsidRPr="00C2247C">
        <w:rPr>
          <w:rFonts w:cs="Arial"/>
          <w:szCs w:val="24"/>
        </w:rPr>
        <w:t xml:space="preserve"> </w:t>
      </w:r>
      <w:r w:rsidR="00C3111C">
        <w:rPr>
          <w:rFonts w:cs="Arial"/>
          <w:szCs w:val="24"/>
        </w:rPr>
        <w:t>14/02/2023</w:t>
      </w:r>
    </w:p>
    <w:p w14:paraId="010CBECA" w14:textId="77777777" w:rsidR="00B377C2" w:rsidRPr="00C2247C" w:rsidRDefault="00B377C2" w:rsidP="00B377C2">
      <w:pPr>
        <w:pStyle w:val="DHBulletlist"/>
        <w:numPr>
          <w:ilvl w:val="0"/>
          <w:numId w:val="0"/>
        </w:numPr>
        <w:tabs>
          <w:tab w:val="left" w:pos="720"/>
        </w:tabs>
        <w:rPr>
          <w:rFonts w:cs="Arial"/>
          <w:szCs w:val="24"/>
        </w:rPr>
      </w:pPr>
    </w:p>
    <w:p w14:paraId="010CBECB" w14:textId="77777777" w:rsidR="00B377C2" w:rsidRPr="00C2247C" w:rsidRDefault="00B377C2" w:rsidP="00B377C2">
      <w:pPr>
        <w:pStyle w:val="DHBulletlist"/>
        <w:numPr>
          <w:ilvl w:val="0"/>
          <w:numId w:val="0"/>
        </w:numPr>
        <w:tabs>
          <w:tab w:val="left" w:pos="720"/>
        </w:tabs>
        <w:rPr>
          <w:rFonts w:cs="Arial"/>
          <w:color w:val="1F497D"/>
          <w:szCs w:val="24"/>
        </w:rPr>
      </w:pPr>
      <w:r w:rsidRPr="00C2247C">
        <w:rPr>
          <w:rFonts w:cs="Arial"/>
          <w:szCs w:val="24"/>
        </w:rPr>
        <w:t xml:space="preserve">If any potential negative impacts are identified the Diversity Team must be contacted for advice and guidance: email; </w:t>
      </w:r>
      <w:hyperlink r:id="rId27" w:history="1">
        <w:r w:rsidRPr="00C2247C">
          <w:rPr>
            <w:rStyle w:val="Hyperlink"/>
            <w:rFonts w:cs="Arial"/>
            <w:szCs w:val="24"/>
          </w:rPr>
          <w:t>diversity.lypft@nhs.net</w:t>
        </w:r>
      </w:hyperlink>
      <w:r w:rsidRPr="00C2247C">
        <w:rPr>
          <w:rFonts w:cs="Arial"/>
          <w:color w:val="1F497D"/>
          <w:szCs w:val="24"/>
        </w:rPr>
        <w:t xml:space="preserve">. </w:t>
      </w:r>
    </w:p>
    <w:p w14:paraId="010CBECC" w14:textId="77777777" w:rsidR="00E2357E" w:rsidRPr="00C2247C" w:rsidRDefault="00E2357E">
      <w:pPr>
        <w:spacing w:before="0" w:line="276" w:lineRule="auto"/>
        <w:jc w:val="left"/>
        <w:rPr>
          <w:rFonts w:cs="Arial"/>
          <w:sz w:val="24"/>
        </w:rPr>
      </w:pPr>
    </w:p>
    <w:p w14:paraId="010CBECD" w14:textId="77777777" w:rsidR="00E2357E" w:rsidRPr="00C2247C" w:rsidRDefault="00E2357E" w:rsidP="00E2357E">
      <w:pPr>
        <w:rPr>
          <w:rFonts w:cs="Arial"/>
          <w:sz w:val="24"/>
        </w:rPr>
      </w:pPr>
      <w:r w:rsidRPr="00C2247C">
        <w:rPr>
          <w:rFonts w:cs="Arial"/>
          <w:sz w:val="24"/>
        </w:rPr>
        <w:t>*delete as appropriate</w:t>
      </w:r>
    </w:p>
    <w:p w14:paraId="010CBECE" w14:textId="77777777" w:rsidR="00E2357E" w:rsidRPr="00C2247C" w:rsidRDefault="00E2357E" w:rsidP="00E2357E">
      <w:pPr>
        <w:rPr>
          <w:rFonts w:cs="Arial"/>
          <w:sz w:val="24"/>
        </w:rPr>
      </w:pPr>
    </w:p>
    <w:p w14:paraId="010CBECF" w14:textId="77777777" w:rsidR="00F62EE5" w:rsidRPr="00C2247C" w:rsidRDefault="00F62EE5" w:rsidP="00E2357E">
      <w:pPr>
        <w:rPr>
          <w:rFonts w:cs="Arial"/>
          <w:sz w:val="24"/>
        </w:rPr>
        <w:sectPr w:rsidR="00F62EE5" w:rsidRPr="00C2247C" w:rsidSect="001D380F">
          <w:headerReference w:type="default" r:id="rId28"/>
          <w:footerReference w:type="default" r:id="rId29"/>
          <w:pgSz w:w="11906" w:h="16838"/>
          <w:pgMar w:top="1440" w:right="1440" w:bottom="1440" w:left="1440" w:header="708" w:footer="708" w:gutter="0"/>
          <w:cols w:space="708"/>
          <w:docGrid w:linePitch="360"/>
        </w:sectPr>
      </w:pPr>
    </w:p>
    <w:p w14:paraId="010CBED0" w14:textId="77777777" w:rsidR="007C507D" w:rsidRPr="00C2247C" w:rsidRDefault="007C507D" w:rsidP="000235E9">
      <w:pPr>
        <w:spacing w:before="0" w:after="0"/>
        <w:ind w:left="-426"/>
        <w:rPr>
          <w:rFonts w:cs="Arial"/>
          <w:b/>
          <w:sz w:val="24"/>
        </w:rPr>
      </w:pPr>
      <w:r w:rsidRPr="00C2247C">
        <w:rPr>
          <w:rFonts w:cs="Arial"/>
          <w:b/>
          <w:sz w:val="24"/>
        </w:rPr>
        <w:lastRenderedPageBreak/>
        <w:t xml:space="preserve">CHECKLIST </w:t>
      </w:r>
    </w:p>
    <w:p w14:paraId="010CBED1" w14:textId="77777777" w:rsidR="007C507D" w:rsidRPr="00C2247C" w:rsidRDefault="007C507D" w:rsidP="000235E9">
      <w:pPr>
        <w:spacing w:before="0" w:after="0"/>
        <w:ind w:left="-426"/>
        <w:rPr>
          <w:rFonts w:cs="Arial"/>
          <w:sz w:val="24"/>
        </w:rPr>
      </w:pPr>
      <w:r w:rsidRPr="00C2247C">
        <w:rPr>
          <w:rFonts w:cs="Arial"/>
          <w:sz w:val="24"/>
        </w:rPr>
        <w:t xml:space="preserve">To be completed and attached to any draft version of a procedural document when submitted to the appropriate group/committee to support its consideration and approval/ratification of the procedural document.  </w:t>
      </w:r>
    </w:p>
    <w:p w14:paraId="010CBED2" w14:textId="77777777" w:rsidR="007C507D" w:rsidRPr="00C2247C" w:rsidRDefault="007C507D" w:rsidP="000235E9">
      <w:pPr>
        <w:spacing w:before="0" w:after="0"/>
        <w:ind w:left="-426"/>
        <w:rPr>
          <w:rFonts w:cs="Arial"/>
          <w:sz w:val="24"/>
        </w:rPr>
      </w:pPr>
    </w:p>
    <w:p w14:paraId="010CBED3" w14:textId="77777777" w:rsidR="007C507D" w:rsidRPr="00C2247C" w:rsidRDefault="007C507D" w:rsidP="000235E9">
      <w:pPr>
        <w:spacing w:before="0" w:after="0"/>
        <w:ind w:left="-426"/>
        <w:rPr>
          <w:rFonts w:cs="Arial"/>
          <w:sz w:val="24"/>
        </w:rPr>
      </w:pPr>
      <w:r w:rsidRPr="00C2247C">
        <w:rPr>
          <w:rFonts w:cs="Arial"/>
          <w:sz w:val="24"/>
        </w:rPr>
        <w:t xml:space="preserve">This checklist is part of the working papers.  </w:t>
      </w:r>
    </w:p>
    <w:p w14:paraId="010CBED4" w14:textId="77777777" w:rsidR="007C507D" w:rsidRPr="00C2247C" w:rsidRDefault="007C507D" w:rsidP="000235E9">
      <w:pPr>
        <w:spacing w:before="0" w:after="0"/>
        <w:ind w:left="-426"/>
        <w:rPr>
          <w:rFonts w:cs="Arial"/>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7C507D" w:rsidRPr="00C2247C" w14:paraId="010CBED8" w14:textId="77777777" w:rsidTr="00F7351D">
        <w:trPr>
          <w:tblHeader/>
        </w:trPr>
        <w:tc>
          <w:tcPr>
            <w:tcW w:w="720" w:type="dxa"/>
            <w:shd w:val="clear" w:color="auto" w:fill="C0C0C0"/>
            <w:vAlign w:val="center"/>
          </w:tcPr>
          <w:p w14:paraId="010CBED5" w14:textId="77777777" w:rsidR="007C507D" w:rsidRPr="00C2247C" w:rsidRDefault="007C507D" w:rsidP="007C507D">
            <w:pPr>
              <w:spacing w:before="60" w:after="0"/>
              <w:jc w:val="center"/>
              <w:rPr>
                <w:rFonts w:cs="Arial"/>
                <w:b/>
                <w:sz w:val="24"/>
              </w:rPr>
            </w:pPr>
          </w:p>
        </w:tc>
        <w:tc>
          <w:tcPr>
            <w:tcW w:w="7578" w:type="dxa"/>
            <w:shd w:val="clear" w:color="auto" w:fill="C0C0C0"/>
            <w:vAlign w:val="center"/>
          </w:tcPr>
          <w:p w14:paraId="010CBED6" w14:textId="77777777" w:rsidR="007C507D" w:rsidRPr="00C2247C" w:rsidRDefault="007C507D" w:rsidP="007C507D">
            <w:pPr>
              <w:spacing w:before="60" w:after="0"/>
              <w:jc w:val="left"/>
              <w:rPr>
                <w:rFonts w:cs="Arial"/>
                <w:b/>
                <w:sz w:val="24"/>
              </w:rPr>
            </w:pPr>
            <w:r w:rsidRPr="00C2247C">
              <w:rPr>
                <w:rFonts w:cs="Arial"/>
                <w:b/>
                <w:sz w:val="24"/>
              </w:rPr>
              <w:t>Title of document being newly created / reviewed:</w:t>
            </w:r>
          </w:p>
        </w:tc>
        <w:tc>
          <w:tcPr>
            <w:tcW w:w="1134" w:type="dxa"/>
            <w:tcBorders>
              <w:bottom w:val="single" w:sz="4" w:space="0" w:color="999999"/>
            </w:tcBorders>
            <w:shd w:val="clear" w:color="auto" w:fill="C0C0C0"/>
            <w:vAlign w:val="center"/>
          </w:tcPr>
          <w:p w14:paraId="010CBED7" w14:textId="77777777" w:rsidR="007C507D" w:rsidRPr="00C2247C" w:rsidRDefault="007C507D" w:rsidP="007C507D">
            <w:pPr>
              <w:spacing w:before="60" w:after="0"/>
              <w:jc w:val="center"/>
              <w:rPr>
                <w:rFonts w:cs="Arial"/>
                <w:b/>
                <w:sz w:val="24"/>
              </w:rPr>
            </w:pPr>
            <w:r w:rsidRPr="00C2247C">
              <w:rPr>
                <w:rFonts w:cs="Arial"/>
                <w:b/>
                <w:sz w:val="24"/>
              </w:rPr>
              <w:t>Yes / No/</w:t>
            </w:r>
            <w:r w:rsidRPr="00C2247C">
              <w:rPr>
                <w:rFonts w:cs="Arial"/>
                <w:b/>
                <w:sz w:val="24"/>
              </w:rPr>
              <w:br/>
            </w:r>
          </w:p>
        </w:tc>
      </w:tr>
      <w:tr w:rsidR="007C507D" w:rsidRPr="00C2247C" w14:paraId="010CBEDC" w14:textId="77777777" w:rsidTr="00F7351D">
        <w:tc>
          <w:tcPr>
            <w:tcW w:w="720" w:type="dxa"/>
          </w:tcPr>
          <w:p w14:paraId="010CBED9" w14:textId="77777777" w:rsidR="007C507D" w:rsidRPr="00C2247C" w:rsidRDefault="007C507D" w:rsidP="007C507D">
            <w:pPr>
              <w:spacing w:before="60" w:after="0"/>
              <w:rPr>
                <w:rFonts w:cs="Arial"/>
                <w:b/>
                <w:sz w:val="24"/>
              </w:rPr>
            </w:pPr>
            <w:r w:rsidRPr="00C2247C">
              <w:rPr>
                <w:rFonts w:cs="Arial"/>
                <w:b/>
                <w:sz w:val="24"/>
              </w:rPr>
              <w:t>1.</w:t>
            </w:r>
          </w:p>
        </w:tc>
        <w:tc>
          <w:tcPr>
            <w:tcW w:w="7578" w:type="dxa"/>
          </w:tcPr>
          <w:p w14:paraId="010CBEDA" w14:textId="77777777" w:rsidR="007C507D" w:rsidRPr="00C2247C" w:rsidRDefault="007C507D" w:rsidP="007C507D">
            <w:pPr>
              <w:spacing w:before="60" w:after="0"/>
              <w:jc w:val="left"/>
              <w:rPr>
                <w:rFonts w:cs="Arial"/>
                <w:b/>
                <w:sz w:val="24"/>
              </w:rPr>
            </w:pPr>
            <w:r w:rsidRPr="00C2247C">
              <w:rPr>
                <w:rFonts w:cs="Arial"/>
                <w:b/>
                <w:sz w:val="24"/>
              </w:rPr>
              <w:t>Title</w:t>
            </w:r>
          </w:p>
        </w:tc>
        <w:tc>
          <w:tcPr>
            <w:tcW w:w="1134" w:type="dxa"/>
            <w:shd w:val="clear" w:color="auto" w:fill="D9D9D9"/>
          </w:tcPr>
          <w:p w14:paraId="010CBEDB" w14:textId="77777777" w:rsidR="007C507D" w:rsidRPr="00C2247C" w:rsidRDefault="007C507D" w:rsidP="007C507D">
            <w:pPr>
              <w:spacing w:before="60" w:after="0"/>
              <w:jc w:val="center"/>
              <w:rPr>
                <w:rFonts w:cs="Arial"/>
                <w:sz w:val="24"/>
              </w:rPr>
            </w:pPr>
          </w:p>
        </w:tc>
      </w:tr>
      <w:tr w:rsidR="007C507D" w:rsidRPr="00C2247C" w14:paraId="010CBEE0" w14:textId="77777777" w:rsidTr="00F7351D">
        <w:tc>
          <w:tcPr>
            <w:tcW w:w="720" w:type="dxa"/>
          </w:tcPr>
          <w:p w14:paraId="010CBEDD" w14:textId="77777777" w:rsidR="007C507D" w:rsidRPr="00C2247C" w:rsidRDefault="007C507D" w:rsidP="007C507D">
            <w:pPr>
              <w:spacing w:before="60" w:after="0"/>
              <w:rPr>
                <w:rFonts w:cs="Arial"/>
                <w:sz w:val="24"/>
              </w:rPr>
            </w:pPr>
          </w:p>
        </w:tc>
        <w:tc>
          <w:tcPr>
            <w:tcW w:w="7578" w:type="dxa"/>
          </w:tcPr>
          <w:p w14:paraId="010CBEDE" w14:textId="77777777" w:rsidR="007C507D" w:rsidRPr="00C2247C" w:rsidRDefault="007C507D" w:rsidP="007C507D">
            <w:pPr>
              <w:spacing w:before="60" w:after="0"/>
              <w:jc w:val="left"/>
              <w:rPr>
                <w:rFonts w:cs="Arial"/>
                <w:sz w:val="24"/>
              </w:rPr>
            </w:pPr>
            <w:r w:rsidRPr="00C2247C">
              <w:rPr>
                <w:rFonts w:cs="Arial"/>
                <w:sz w:val="24"/>
              </w:rPr>
              <w:t>Is the title clear and unambiguous?</w:t>
            </w:r>
          </w:p>
        </w:tc>
        <w:tc>
          <w:tcPr>
            <w:tcW w:w="1134" w:type="dxa"/>
          </w:tcPr>
          <w:p w14:paraId="010CBEDF" w14:textId="77777777" w:rsidR="007C507D" w:rsidRPr="00C2247C" w:rsidRDefault="007255CC" w:rsidP="007C507D">
            <w:pPr>
              <w:spacing w:before="60" w:after="0"/>
              <w:jc w:val="center"/>
              <w:rPr>
                <w:rFonts w:cs="Arial"/>
                <w:i/>
                <w:sz w:val="24"/>
              </w:rPr>
            </w:pPr>
            <w:r w:rsidRPr="00C2247C">
              <w:rPr>
                <w:rFonts w:cs="Arial"/>
                <w:i/>
                <w:sz w:val="24"/>
              </w:rPr>
              <w:t xml:space="preserve">Yes </w:t>
            </w:r>
          </w:p>
        </w:tc>
      </w:tr>
      <w:tr w:rsidR="007C507D" w:rsidRPr="00C2247C" w14:paraId="010CBEE4" w14:textId="77777777" w:rsidTr="00F7351D">
        <w:tc>
          <w:tcPr>
            <w:tcW w:w="720" w:type="dxa"/>
          </w:tcPr>
          <w:p w14:paraId="010CBEE1" w14:textId="77777777" w:rsidR="007C507D" w:rsidRPr="00C2247C" w:rsidRDefault="007C507D" w:rsidP="007C507D">
            <w:pPr>
              <w:spacing w:before="60" w:after="0"/>
              <w:rPr>
                <w:rFonts w:cs="Arial"/>
                <w:sz w:val="24"/>
              </w:rPr>
            </w:pPr>
          </w:p>
        </w:tc>
        <w:tc>
          <w:tcPr>
            <w:tcW w:w="7578" w:type="dxa"/>
          </w:tcPr>
          <w:p w14:paraId="010CBEE2" w14:textId="77777777" w:rsidR="007C507D" w:rsidRPr="00C2247C" w:rsidRDefault="007C507D" w:rsidP="007C507D">
            <w:pPr>
              <w:spacing w:before="60" w:after="0"/>
              <w:jc w:val="left"/>
              <w:rPr>
                <w:rFonts w:cs="Arial"/>
                <w:sz w:val="24"/>
              </w:rPr>
            </w:pPr>
            <w:r w:rsidRPr="00C2247C">
              <w:rPr>
                <w:rFonts w:cs="Arial"/>
                <w:sz w:val="24"/>
              </w:rPr>
              <w:t xml:space="preserve">Is the procedural document in the correct format and style? </w:t>
            </w:r>
          </w:p>
        </w:tc>
        <w:tc>
          <w:tcPr>
            <w:tcW w:w="1134" w:type="dxa"/>
            <w:tcBorders>
              <w:bottom w:val="single" w:sz="4" w:space="0" w:color="999999"/>
            </w:tcBorders>
          </w:tcPr>
          <w:p w14:paraId="010CBEE3" w14:textId="77777777" w:rsidR="007C507D" w:rsidRPr="00C2247C" w:rsidRDefault="007255CC" w:rsidP="007C507D">
            <w:pPr>
              <w:spacing w:before="60" w:after="0"/>
              <w:jc w:val="center"/>
              <w:rPr>
                <w:rFonts w:cs="Arial"/>
                <w:i/>
                <w:sz w:val="24"/>
              </w:rPr>
            </w:pPr>
            <w:r w:rsidRPr="00C2247C">
              <w:rPr>
                <w:rFonts w:cs="Arial"/>
                <w:i/>
                <w:sz w:val="24"/>
              </w:rPr>
              <w:t xml:space="preserve">Yes </w:t>
            </w:r>
          </w:p>
        </w:tc>
      </w:tr>
      <w:tr w:rsidR="007C507D" w:rsidRPr="00C2247C" w14:paraId="010CBEE8" w14:textId="77777777" w:rsidTr="00F7351D">
        <w:tc>
          <w:tcPr>
            <w:tcW w:w="720" w:type="dxa"/>
            <w:tcBorders>
              <w:bottom w:val="single" w:sz="4" w:space="0" w:color="999999"/>
            </w:tcBorders>
          </w:tcPr>
          <w:p w14:paraId="010CBEE5" w14:textId="77777777" w:rsidR="007C507D" w:rsidRPr="00C2247C" w:rsidRDefault="007C507D" w:rsidP="007C507D">
            <w:pPr>
              <w:spacing w:before="60" w:after="0"/>
              <w:rPr>
                <w:rFonts w:cs="Arial"/>
                <w:b/>
                <w:sz w:val="24"/>
              </w:rPr>
            </w:pPr>
            <w:r w:rsidRPr="00C2247C">
              <w:rPr>
                <w:rFonts w:cs="Arial"/>
                <w:b/>
                <w:sz w:val="24"/>
              </w:rPr>
              <w:t>2.</w:t>
            </w:r>
          </w:p>
        </w:tc>
        <w:tc>
          <w:tcPr>
            <w:tcW w:w="7578" w:type="dxa"/>
            <w:tcBorders>
              <w:bottom w:val="single" w:sz="4" w:space="0" w:color="999999"/>
            </w:tcBorders>
          </w:tcPr>
          <w:p w14:paraId="010CBEE6" w14:textId="77777777" w:rsidR="007C507D" w:rsidRPr="00C2247C" w:rsidRDefault="007C507D" w:rsidP="007C507D">
            <w:pPr>
              <w:spacing w:before="60" w:after="0"/>
              <w:jc w:val="left"/>
              <w:rPr>
                <w:rFonts w:cs="Arial"/>
                <w:b/>
                <w:sz w:val="24"/>
              </w:rPr>
            </w:pPr>
            <w:r w:rsidRPr="00C2247C">
              <w:rPr>
                <w:rFonts w:cs="Arial"/>
                <w:b/>
                <w:sz w:val="24"/>
              </w:rPr>
              <w:t>Development Process</w:t>
            </w:r>
          </w:p>
        </w:tc>
        <w:tc>
          <w:tcPr>
            <w:tcW w:w="1134" w:type="dxa"/>
            <w:tcBorders>
              <w:bottom w:val="single" w:sz="4" w:space="0" w:color="999999"/>
            </w:tcBorders>
            <w:shd w:val="clear" w:color="auto" w:fill="D9D9D9"/>
          </w:tcPr>
          <w:p w14:paraId="010CBEE7" w14:textId="77777777" w:rsidR="007C507D" w:rsidRPr="00C2247C" w:rsidRDefault="007C507D" w:rsidP="007C507D">
            <w:pPr>
              <w:spacing w:before="60" w:after="0"/>
              <w:jc w:val="center"/>
              <w:rPr>
                <w:rFonts w:cs="Arial"/>
                <w:i/>
                <w:sz w:val="24"/>
              </w:rPr>
            </w:pPr>
          </w:p>
        </w:tc>
      </w:tr>
      <w:tr w:rsidR="007C507D" w:rsidRPr="00C2247C" w14:paraId="010CBEEC" w14:textId="77777777" w:rsidTr="00F7351D">
        <w:tc>
          <w:tcPr>
            <w:tcW w:w="720" w:type="dxa"/>
          </w:tcPr>
          <w:p w14:paraId="010CBEE9" w14:textId="77777777" w:rsidR="007C507D" w:rsidRPr="00C2247C" w:rsidRDefault="007C507D" w:rsidP="007C507D">
            <w:pPr>
              <w:spacing w:before="60" w:after="0"/>
              <w:rPr>
                <w:rFonts w:cs="Arial"/>
                <w:sz w:val="24"/>
              </w:rPr>
            </w:pPr>
          </w:p>
        </w:tc>
        <w:tc>
          <w:tcPr>
            <w:tcW w:w="7578" w:type="dxa"/>
          </w:tcPr>
          <w:p w14:paraId="010CBEEA" w14:textId="77777777" w:rsidR="007C507D" w:rsidRPr="00C2247C" w:rsidRDefault="000235E9" w:rsidP="000235E9">
            <w:pPr>
              <w:spacing w:before="60" w:after="0"/>
              <w:jc w:val="left"/>
              <w:rPr>
                <w:rFonts w:cs="Arial"/>
                <w:sz w:val="24"/>
              </w:rPr>
            </w:pPr>
            <w:r w:rsidRPr="00C2247C">
              <w:rPr>
                <w:rFonts w:cs="Arial"/>
                <w:sz w:val="24"/>
              </w:rPr>
              <w:t xml:space="preserve">Is there evidence of </w:t>
            </w:r>
            <w:r w:rsidR="007C507D" w:rsidRPr="00C2247C">
              <w:rPr>
                <w:rFonts w:cs="Arial"/>
                <w:sz w:val="24"/>
              </w:rPr>
              <w:t>reasonable attempt</w:t>
            </w:r>
            <w:r w:rsidRPr="00C2247C">
              <w:rPr>
                <w:rFonts w:cs="Arial"/>
                <w:sz w:val="24"/>
              </w:rPr>
              <w:t>s</w:t>
            </w:r>
            <w:r w:rsidR="007C507D" w:rsidRPr="00C2247C">
              <w:rPr>
                <w:rFonts w:cs="Arial"/>
                <w:sz w:val="24"/>
              </w:rPr>
              <w:t xml:space="preserve"> to ensure relevant expertise has been used?</w:t>
            </w:r>
          </w:p>
        </w:tc>
        <w:tc>
          <w:tcPr>
            <w:tcW w:w="1134" w:type="dxa"/>
          </w:tcPr>
          <w:p w14:paraId="010CBEEB" w14:textId="77777777" w:rsidR="007C507D" w:rsidRPr="00C2247C" w:rsidRDefault="007255CC" w:rsidP="007C507D">
            <w:pPr>
              <w:spacing w:before="60" w:after="0"/>
              <w:jc w:val="center"/>
              <w:rPr>
                <w:rFonts w:cs="Arial"/>
                <w:i/>
                <w:sz w:val="24"/>
              </w:rPr>
            </w:pPr>
            <w:r w:rsidRPr="00C2247C">
              <w:rPr>
                <w:rFonts w:cs="Arial"/>
                <w:i/>
                <w:sz w:val="24"/>
              </w:rPr>
              <w:t xml:space="preserve">Yes </w:t>
            </w:r>
          </w:p>
        </w:tc>
      </w:tr>
      <w:tr w:rsidR="007C507D" w:rsidRPr="00C2247C" w14:paraId="010CBEF0" w14:textId="77777777" w:rsidTr="00F7351D">
        <w:tc>
          <w:tcPr>
            <w:tcW w:w="720" w:type="dxa"/>
          </w:tcPr>
          <w:p w14:paraId="010CBEED" w14:textId="77777777" w:rsidR="007C507D" w:rsidRPr="00C2247C" w:rsidRDefault="007C507D" w:rsidP="007C507D">
            <w:pPr>
              <w:spacing w:before="60" w:after="0"/>
              <w:rPr>
                <w:rFonts w:cs="Arial"/>
                <w:b/>
                <w:sz w:val="24"/>
              </w:rPr>
            </w:pPr>
            <w:r w:rsidRPr="00C2247C">
              <w:rPr>
                <w:rFonts w:cs="Arial"/>
                <w:b/>
                <w:sz w:val="24"/>
              </w:rPr>
              <w:t>3.</w:t>
            </w:r>
          </w:p>
        </w:tc>
        <w:tc>
          <w:tcPr>
            <w:tcW w:w="7578" w:type="dxa"/>
          </w:tcPr>
          <w:p w14:paraId="010CBEEE" w14:textId="77777777" w:rsidR="007C507D" w:rsidRPr="00C2247C" w:rsidRDefault="007C507D" w:rsidP="007C507D">
            <w:pPr>
              <w:spacing w:before="60" w:after="0"/>
              <w:jc w:val="left"/>
              <w:rPr>
                <w:rFonts w:cs="Arial"/>
                <w:b/>
                <w:sz w:val="24"/>
              </w:rPr>
            </w:pPr>
            <w:r w:rsidRPr="00C2247C">
              <w:rPr>
                <w:rFonts w:cs="Arial"/>
                <w:b/>
                <w:sz w:val="24"/>
              </w:rPr>
              <w:t>Content</w:t>
            </w:r>
          </w:p>
        </w:tc>
        <w:tc>
          <w:tcPr>
            <w:tcW w:w="1134" w:type="dxa"/>
            <w:shd w:val="clear" w:color="auto" w:fill="D9D9D9"/>
          </w:tcPr>
          <w:p w14:paraId="010CBEEF" w14:textId="77777777" w:rsidR="007C507D" w:rsidRPr="00C2247C" w:rsidRDefault="007C507D" w:rsidP="007C507D">
            <w:pPr>
              <w:spacing w:before="60" w:after="0"/>
              <w:jc w:val="center"/>
              <w:rPr>
                <w:rFonts w:cs="Arial"/>
                <w:i/>
                <w:sz w:val="24"/>
              </w:rPr>
            </w:pPr>
          </w:p>
        </w:tc>
      </w:tr>
      <w:tr w:rsidR="007C507D" w:rsidRPr="00C2247C" w14:paraId="010CBEF4" w14:textId="77777777" w:rsidTr="00F7351D">
        <w:tc>
          <w:tcPr>
            <w:tcW w:w="720" w:type="dxa"/>
          </w:tcPr>
          <w:p w14:paraId="010CBEF1" w14:textId="77777777" w:rsidR="007C507D" w:rsidRPr="00C2247C" w:rsidRDefault="007C507D" w:rsidP="007C507D">
            <w:pPr>
              <w:spacing w:before="60" w:after="0"/>
              <w:rPr>
                <w:rFonts w:cs="Arial"/>
                <w:sz w:val="24"/>
              </w:rPr>
            </w:pPr>
          </w:p>
        </w:tc>
        <w:tc>
          <w:tcPr>
            <w:tcW w:w="7578" w:type="dxa"/>
          </w:tcPr>
          <w:p w14:paraId="010CBEF2" w14:textId="77777777" w:rsidR="007C507D" w:rsidRPr="00C2247C" w:rsidRDefault="007C507D" w:rsidP="007C507D">
            <w:pPr>
              <w:spacing w:before="60" w:after="0"/>
              <w:jc w:val="left"/>
              <w:rPr>
                <w:rFonts w:cs="Arial"/>
                <w:sz w:val="24"/>
              </w:rPr>
            </w:pPr>
            <w:r w:rsidRPr="00C2247C">
              <w:rPr>
                <w:rFonts w:cs="Arial"/>
                <w:sz w:val="24"/>
              </w:rPr>
              <w:t>Is the Purpose of the document clear?</w:t>
            </w:r>
          </w:p>
        </w:tc>
        <w:tc>
          <w:tcPr>
            <w:tcW w:w="1134" w:type="dxa"/>
          </w:tcPr>
          <w:p w14:paraId="010CBEF3" w14:textId="77777777" w:rsidR="007C507D" w:rsidRPr="00C2247C" w:rsidRDefault="007255CC" w:rsidP="007C507D">
            <w:pPr>
              <w:spacing w:before="60" w:after="0"/>
              <w:jc w:val="center"/>
              <w:rPr>
                <w:rFonts w:cs="Arial"/>
                <w:i/>
                <w:sz w:val="24"/>
              </w:rPr>
            </w:pPr>
            <w:r w:rsidRPr="00C2247C">
              <w:rPr>
                <w:rFonts w:cs="Arial"/>
                <w:i/>
                <w:sz w:val="24"/>
              </w:rPr>
              <w:t>Yes</w:t>
            </w:r>
          </w:p>
        </w:tc>
      </w:tr>
      <w:tr w:rsidR="007C507D" w:rsidRPr="00C2247C" w14:paraId="010CBEF8" w14:textId="77777777" w:rsidTr="00F7351D">
        <w:tc>
          <w:tcPr>
            <w:tcW w:w="720" w:type="dxa"/>
          </w:tcPr>
          <w:p w14:paraId="010CBEF5" w14:textId="77777777" w:rsidR="007C507D" w:rsidRPr="00C2247C" w:rsidRDefault="007C507D" w:rsidP="007C507D">
            <w:pPr>
              <w:spacing w:before="60" w:after="0"/>
              <w:rPr>
                <w:rFonts w:cs="Arial"/>
                <w:b/>
                <w:sz w:val="24"/>
              </w:rPr>
            </w:pPr>
            <w:r w:rsidRPr="00C2247C">
              <w:rPr>
                <w:rFonts w:cs="Arial"/>
                <w:b/>
                <w:sz w:val="24"/>
              </w:rPr>
              <w:t>5.</w:t>
            </w:r>
          </w:p>
        </w:tc>
        <w:tc>
          <w:tcPr>
            <w:tcW w:w="7578" w:type="dxa"/>
          </w:tcPr>
          <w:p w14:paraId="010CBEF6" w14:textId="77777777" w:rsidR="007C507D" w:rsidRPr="00C2247C" w:rsidRDefault="007C507D" w:rsidP="007C507D">
            <w:pPr>
              <w:spacing w:before="60" w:after="0"/>
              <w:jc w:val="left"/>
              <w:rPr>
                <w:rFonts w:cs="Arial"/>
                <w:b/>
                <w:sz w:val="24"/>
              </w:rPr>
            </w:pPr>
            <w:r w:rsidRPr="00C2247C">
              <w:rPr>
                <w:rFonts w:cs="Arial"/>
                <w:b/>
                <w:sz w:val="24"/>
              </w:rPr>
              <w:t>Approval</w:t>
            </w:r>
          </w:p>
        </w:tc>
        <w:tc>
          <w:tcPr>
            <w:tcW w:w="1134" w:type="dxa"/>
            <w:shd w:val="clear" w:color="auto" w:fill="D9D9D9"/>
          </w:tcPr>
          <w:p w14:paraId="010CBEF7" w14:textId="77777777" w:rsidR="007C507D" w:rsidRPr="00C2247C" w:rsidRDefault="007C507D" w:rsidP="007C507D">
            <w:pPr>
              <w:spacing w:before="60" w:after="0"/>
              <w:jc w:val="center"/>
              <w:rPr>
                <w:rFonts w:cs="Arial"/>
                <w:i/>
                <w:sz w:val="24"/>
              </w:rPr>
            </w:pPr>
          </w:p>
        </w:tc>
      </w:tr>
      <w:tr w:rsidR="007C507D" w:rsidRPr="00C2247C" w14:paraId="010CBEFC" w14:textId="77777777" w:rsidTr="00F7351D">
        <w:tc>
          <w:tcPr>
            <w:tcW w:w="720" w:type="dxa"/>
          </w:tcPr>
          <w:p w14:paraId="010CBEF9" w14:textId="77777777" w:rsidR="007C507D" w:rsidRPr="00C2247C" w:rsidRDefault="007C507D" w:rsidP="007C507D">
            <w:pPr>
              <w:spacing w:before="60" w:after="0"/>
              <w:rPr>
                <w:rFonts w:cs="Arial"/>
                <w:sz w:val="24"/>
              </w:rPr>
            </w:pPr>
          </w:p>
        </w:tc>
        <w:tc>
          <w:tcPr>
            <w:tcW w:w="7578" w:type="dxa"/>
          </w:tcPr>
          <w:p w14:paraId="010CBEFA" w14:textId="77777777" w:rsidR="007C507D" w:rsidRPr="00C2247C" w:rsidRDefault="007C507D" w:rsidP="007C507D">
            <w:pPr>
              <w:spacing w:before="60" w:after="0"/>
              <w:jc w:val="left"/>
              <w:rPr>
                <w:rFonts w:cs="Arial"/>
                <w:sz w:val="24"/>
              </w:rPr>
            </w:pPr>
            <w:r w:rsidRPr="00C2247C">
              <w:rPr>
                <w:rFonts w:cs="Arial"/>
                <w:sz w:val="24"/>
              </w:rPr>
              <w:t xml:space="preserve">Does the document identify which committee/group will approve it? </w:t>
            </w:r>
          </w:p>
        </w:tc>
        <w:tc>
          <w:tcPr>
            <w:tcW w:w="1134" w:type="dxa"/>
          </w:tcPr>
          <w:p w14:paraId="010CBEFB" w14:textId="77777777" w:rsidR="007C507D" w:rsidRPr="00C2247C" w:rsidRDefault="007E0914" w:rsidP="007C507D">
            <w:pPr>
              <w:spacing w:before="60" w:after="0"/>
              <w:jc w:val="center"/>
              <w:rPr>
                <w:rFonts w:cs="Arial"/>
                <w:i/>
                <w:sz w:val="24"/>
              </w:rPr>
            </w:pPr>
            <w:r w:rsidRPr="00C2247C">
              <w:rPr>
                <w:rFonts w:cs="Arial"/>
                <w:i/>
                <w:sz w:val="24"/>
              </w:rPr>
              <w:t>Yes</w:t>
            </w:r>
          </w:p>
        </w:tc>
      </w:tr>
      <w:tr w:rsidR="007C507D" w:rsidRPr="00C2247C" w14:paraId="010CBF00" w14:textId="77777777" w:rsidTr="00F7351D">
        <w:tc>
          <w:tcPr>
            <w:tcW w:w="720" w:type="dxa"/>
          </w:tcPr>
          <w:p w14:paraId="010CBEFD" w14:textId="77777777" w:rsidR="007C507D" w:rsidRPr="00C2247C" w:rsidRDefault="007C507D" w:rsidP="007C507D">
            <w:pPr>
              <w:spacing w:before="60" w:after="0"/>
              <w:rPr>
                <w:rFonts w:cs="Arial"/>
                <w:b/>
                <w:bCs/>
                <w:sz w:val="24"/>
              </w:rPr>
            </w:pPr>
            <w:r w:rsidRPr="00C2247C">
              <w:rPr>
                <w:rFonts w:cs="Arial"/>
                <w:b/>
                <w:bCs/>
                <w:sz w:val="24"/>
              </w:rPr>
              <w:t>6.</w:t>
            </w:r>
          </w:p>
        </w:tc>
        <w:tc>
          <w:tcPr>
            <w:tcW w:w="7578" w:type="dxa"/>
          </w:tcPr>
          <w:p w14:paraId="010CBEFE" w14:textId="77777777" w:rsidR="007C507D" w:rsidRPr="00C2247C" w:rsidRDefault="007C507D" w:rsidP="007C507D">
            <w:pPr>
              <w:keepNext/>
              <w:keepLines/>
              <w:spacing w:before="60" w:after="0"/>
              <w:outlineLvl w:val="6"/>
              <w:rPr>
                <w:rFonts w:eastAsiaTheme="majorEastAsia" w:cs="Arial"/>
                <w:b/>
                <w:iCs/>
                <w:color w:val="404040" w:themeColor="text1" w:themeTint="BF"/>
                <w:sz w:val="24"/>
              </w:rPr>
            </w:pPr>
            <w:r w:rsidRPr="00C2247C">
              <w:rPr>
                <w:rFonts w:eastAsiaTheme="majorEastAsia" w:cs="Arial"/>
                <w:b/>
                <w:iCs/>
                <w:sz w:val="24"/>
              </w:rPr>
              <w:t>Equality Impact Assessment</w:t>
            </w:r>
          </w:p>
        </w:tc>
        <w:tc>
          <w:tcPr>
            <w:tcW w:w="1134" w:type="dxa"/>
            <w:shd w:val="clear" w:color="auto" w:fill="D9D9D9"/>
          </w:tcPr>
          <w:p w14:paraId="010CBEFF" w14:textId="77777777" w:rsidR="007C507D" w:rsidRPr="00C2247C" w:rsidRDefault="007C507D" w:rsidP="007C507D">
            <w:pPr>
              <w:spacing w:before="60" w:after="0"/>
              <w:jc w:val="center"/>
              <w:rPr>
                <w:rFonts w:cs="Arial"/>
                <w:i/>
                <w:sz w:val="24"/>
              </w:rPr>
            </w:pPr>
          </w:p>
        </w:tc>
      </w:tr>
      <w:tr w:rsidR="007C507D" w:rsidRPr="00C2247C" w14:paraId="010CBF04" w14:textId="77777777" w:rsidTr="00F7351D">
        <w:tc>
          <w:tcPr>
            <w:tcW w:w="720" w:type="dxa"/>
          </w:tcPr>
          <w:p w14:paraId="010CBF01" w14:textId="77777777" w:rsidR="007C507D" w:rsidRPr="00C2247C" w:rsidRDefault="007C507D" w:rsidP="007C507D">
            <w:pPr>
              <w:spacing w:before="60" w:after="0"/>
              <w:rPr>
                <w:rFonts w:cs="Arial"/>
                <w:b/>
                <w:bCs/>
                <w:sz w:val="24"/>
              </w:rPr>
            </w:pPr>
          </w:p>
        </w:tc>
        <w:tc>
          <w:tcPr>
            <w:tcW w:w="7578" w:type="dxa"/>
          </w:tcPr>
          <w:p w14:paraId="010CBF02" w14:textId="77777777" w:rsidR="007C507D" w:rsidRPr="00C2247C" w:rsidRDefault="007C507D" w:rsidP="00B377C2">
            <w:pPr>
              <w:spacing w:before="60" w:after="0"/>
              <w:jc w:val="left"/>
              <w:rPr>
                <w:rFonts w:cs="Arial"/>
                <w:sz w:val="24"/>
              </w:rPr>
            </w:pPr>
            <w:r w:rsidRPr="00C2247C">
              <w:rPr>
                <w:rFonts w:cs="Arial"/>
                <w:sz w:val="24"/>
              </w:rPr>
              <w:t>Has th</w:t>
            </w:r>
            <w:r w:rsidR="00B377C2" w:rsidRPr="00C2247C">
              <w:rPr>
                <w:rFonts w:cs="Arial"/>
                <w:sz w:val="24"/>
              </w:rPr>
              <w:t>e declaration</w:t>
            </w:r>
            <w:r w:rsidRPr="00C2247C">
              <w:rPr>
                <w:rFonts w:cs="Arial"/>
                <w:sz w:val="24"/>
              </w:rPr>
              <w:t xml:space="preserve"> been completed</w:t>
            </w:r>
            <w:r w:rsidR="00B377C2" w:rsidRPr="00C2247C">
              <w:rPr>
                <w:rFonts w:cs="Arial"/>
                <w:sz w:val="24"/>
              </w:rPr>
              <w:t>?</w:t>
            </w:r>
          </w:p>
        </w:tc>
        <w:tc>
          <w:tcPr>
            <w:tcW w:w="1134" w:type="dxa"/>
            <w:tcBorders>
              <w:bottom w:val="single" w:sz="4" w:space="0" w:color="999999"/>
            </w:tcBorders>
          </w:tcPr>
          <w:p w14:paraId="010CBF03" w14:textId="77777777" w:rsidR="007C507D" w:rsidRPr="00C2247C" w:rsidRDefault="007255CC" w:rsidP="007C507D">
            <w:pPr>
              <w:spacing w:before="60" w:after="0"/>
              <w:jc w:val="center"/>
              <w:rPr>
                <w:rFonts w:cs="Arial"/>
                <w:i/>
                <w:sz w:val="24"/>
              </w:rPr>
            </w:pPr>
            <w:r w:rsidRPr="00C2247C">
              <w:rPr>
                <w:rFonts w:cs="Arial"/>
                <w:i/>
                <w:sz w:val="24"/>
              </w:rPr>
              <w:t xml:space="preserve">Yes </w:t>
            </w:r>
          </w:p>
        </w:tc>
      </w:tr>
      <w:tr w:rsidR="007C507D" w:rsidRPr="00C2247C" w14:paraId="010CBF08" w14:textId="77777777" w:rsidTr="00F7351D">
        <w:tc>
          <w:tcPr>
            <w:tcW w:w="720" w:type="dxa"/>
          </w:tcPr>
          <w:p w14:paraId="010CBF05" w14:textId="77777777" w:rsidR="007C507D" w:rsidRPr="00C2247C" w:rsidRDefault="007C507D" w:rsidP="007C507D">
            <w:pPr>
              <w:spacing w:before="60" w:after="0"/>
              <w:rPr>
                <w:rFonts w:cs="Arial"/>
                <w:b/>
                <w:sz w:val="24"/>
              </w:rPr>
            </w:pPr>
            <w:r w:rsidRPr="00C2247C">
              <w:rPr>
                <w:rFonts w:cs="Arial"/>
                <w:b/>
                <w:sz w:val="24"/>
              </w:rPr>
              <w:t>7.</w:t>
            </w:r>
          </w:p>
        </w:tc>
        <w:tc>
          <w:tcPr>
            <w:tcW w:w="7578" w:type="dxa"/>
          </w:tcPr>
          <w:p w14:paraId="010CBF06" w14:textId="77777777" w:rsidR="007C507D" w:rsidRPr="00C2247C" w:rsidRDefault="007C507D" w:rsidP="007C507D">
            <w:pPr>
              <w:spacing w:before="60" w:after="0"/>
              <w:jc w:val="left"/>
              <w:rPr>
                <w:rFonts w:cs="Arial"/>
                <w:b/>
                <w:sz w:val="24"/>
              </w:rPr>
            </w:pPr>
            <w:r w:rsidRPr="00C2247C">
              <w:rPr>
                <w:rFonts w:cs="Arial"/>
                <w:b/>
                <w:sz w:val="24"/>
              </w:rPr>
              <w:t>Review Date</w:t>
            </w:r>
          </w:p>
        </w:tc>
        <w:tc>
          <w:tcPr>
            <w:tcW w:w="1134" w:type="dxa"/>
            <w:shd w:val="clear" w:color="auto" w:fill="D9D9D9"/>
          </w:tcPr>
          <w:p w14:paraId="010CBF07" w14:textId="77777777" w:rsidR="007C507D" w:rsidRPr="00C2247C" w:rsidRDefault="007C507D" w:rsidP="007C507D">
            <w:pPr>
              <w:spacing w:before="60" w:after="0"/>
              <w:jc w:val="center"/>
              <w:rPr>
                <w:rFonts w:cs="Arial"/>
                <w:i/>
                <w:sz w:val="24"/>
              </w:rPr>
            </w:pPr>
          </w:p>
        </w:tc>
      </w:tr>
      <w:tr w:rsidR="007C507D" w:rsidRPr="00C2247C" w14:paraId="010CBF0C" w14:textId="77777777" w:rsidTr="00F7351D">
        <w:tc>
          <w:tcPr>
            <w:tcW w:w="720" w:type="dxa"/>
          </w:tcPr>
          <w:p w14:paraId="010CBF09" w14:textId="77777777" w:rsidR="007C507D" w:rsidRPr="00C2247C" w:rsidRDefault="007C507D" w:rsidP="007C507D">
            <w:pPr>
              <w:spacing w:before="60" w:after="0"/>
              <w:rPr>
                <w:rFonts w:cs="Arial"/>
                <w:sz w:val="24"/>
              </w:rPr>
            </w:pPr>
          </w:p>
        </w:tc>
        <w:tc>
          <w:tcPr>
            <w:tcW w:w="7578" w:type="dxa"/>
          </w:tcPr>
          <w:p w14:paraId="010CBF0A" w14:textId="77777777" w:rsidR="007C507D" w:rsidRPr="00C2247C" w:rsidRDefault="007C507D" w:rsidP="007C507D">
            <w:pPr>
              <w:spacing w:before="60" w:after="0"/>
              <w:jc w:val="left"/>
              <w:rPr>
                <w:rFonts w:cs="Arial"/>
                <w:sz w:val="24"/>
              </w:rPr>
            </w:pPr>
            <w:r w:rsidRPr="00C2247C">
              <w:rPr>
                <w:rFonts w:cs="Arial"/>
                <w:sz w:val="24"/>
              </w:rPr>
              <w:t>Is the review date identified?</w:t>
            </w:r>
          </w:p>
        </w:tc>
        <w:tc>
          <w:tcPr>
            <w:tcW w:w="1134" w:type="dxa"/>
          </w:tcPr>
          <w:p w14:paraId="010CBF0B" w14:textId="77777777" w:rsidR="007C507D" w:rsidRPr="00C2247C" w:rsidRDefault="007255CC" w:rsidP="007C507D">
            <w:pPr>
              <w:spacing w:before="60" w:after="0"/>
              <w:jc w:val="center"/>
              <w:rPr>
                <w:rFonts w:cs="Arial"/>
                <w:i/>
                <w:sz w:val="24"/>
              </w:rPr>
            </w:pPr>
            <w:r w:rsidRPr="00C2247C">
              <w:rPr>
                <w:rFonts w:cs="Arial"/>
                <w:i/>
                <w:sz w:val="24"/>
              </w:rPr>
              <w:t>Yes</w:t>
            </w:r>
          </w:p>
        </w:tc>
      </w:tr>
      <w:tr w:rsidR="007C507D" w:rsidRPr="00C2247C" w14:paraId="010CBF10" w14:textId="77777777" w:rsidTr="00F7351D">
        <w:tc>
          <w:tcPr>
            <w:tcW w:w="720" w:type="dxa"/>
          </w:tcPr>
          <w:p w14:paraId="010CBF0D" w14:textId="77777777" w:rsidR="007C507D" w:rsidRPr="00C2247C" w:rsidRDefault="007C507D" w:rsidP="007C507D">
            <w:pPr>
              <w:spacing w:before="60" w:after="0"/>
              <w:rPr>
                <w:rFonts w:cs="Arial"/>
                <w:sz w:val="24"/>
              </w:rPr>
            </w:pPr>
          </w:p>
        </w:tc>
        <w:tc>
          <w:tcPr>
            <w:tcW w:w="7578" w:type="dxa"/>
          </w:tcPr>
          <w:p w14:paraId="010CBF0E" w14:textId="77777777" w:rsidR="007C507D" w:rsidRPr="00C2247C" w:rsidRDefault="007C507D" w:rsidP="00E2357E">
            <w:pPr>
              <w:spacing w:before="60" w:after="0"/>
              <w:jc w:val="left"/>
              <w:rPr>
                <w:rFonts w:cs="Arial"/>
                <w:sz w:val="24"/>
              </w:rPr>
            </w:pPr>
            <w:r w:rsidRPr="00C2247C">
              <w:rPr>
                <w:rFonts w:cs="Arial"/>
                <w:sz w:val="24"/>
              </w:rPr>
              <w:t>Is the frequency of review identified</w:t>
            </w:r>
            <w:r w:rsidR="00E2357E" w:rsidRPr="00C2247C">
              <w:rPr>
                <w:rFonts w:cs="Arial"/>
                <w:sz w:val="24"/>
              </w:rPr>
              <w:t xml:space="preserve"> and</w:t>
            </w:r>
            <w:r w:rsidRPr="00C2247C">
              <w:rPr>
                <w:rFonts w:cs="Arial"/>
                <w:sz w:val="24"/>
              </w:rPr>
              <w:t xml:space="preserve"> acceptable?</w:t>
            </w:r>
          </w:p>
        </w:tc>
        <w:tc>
          <w:tcPr>
            <w:tcW w:w="1134" w:type="dxa"/>
            <w:tcBorders>
              <w:bottom w:val="single" w:sz="4" w:space="0" w:color="999999"/>
            </w:tcBorders>
          </w:tcPr>
          <w:p w14:paraId="010CBF0F" w14:textId="77777777" w:rsidR="007C507D" w:rsidRPr="00C2247C" w:rsidRDefault="007255CC" w:rsidP="007C507D">
            <w:pPr>
              <w:spacing w:before="60" w:after="0"/>
              <w:jc w:val="center"/>
              <w:rPr>
                <w:rFonts w:cs="Arial"/>
                <w:i/>
                <w:sz w:val="24"/>
              </w:rPr>
            </w:pPr>
            <w:r w:rsidRPr="00C2247C">
              <w:rPr>
                <w:rFonts w:cs="Arial"/>
                <w:i/>
                <w:sz w:val="24"/>
              </w:rPr>
              <w:t>Yes</w:t>
            </w:r>
          </w:p>
        </w:tc>
      </w:tr>
      <w:tr w:rsidR="007C507D" w:rsidRPr="00C2247C" w14:paraId="010CBF14" w14:textId="77777777" w:rsidTr="00F7351D">
        <w:tc>
          <w:tcPr>
            <w:tcW w:w="720" w:type="dxa"/>
            <w:tcBorders>
              <w:bottom w:val="single" w:sz="4" w:space="0" w:color="999999"/>
            </w:tcBorders>
          </w:tcPr>
          <w:p w14:paraId="010CBF11" w14:textId="77777777" w:rsidR="007C507D" w:rsidRPr="00C2247C" w:rsidRDefault="007C507D" w:rsidP="007C507D">
            <w:pPr>
              <w:spacing w:before="60" w:after="0"/>
              <w:rPr>
                <w:rFonts w:cs="Arial"/>
                <w:b/>
                <w:sz w:val="24"/>
              </w:rPr>
            </w:pPr>
            <w:r w:rsidRPr="00C2247C">
              <w:rPr>
                <w:rFonts w:cs="Arial"/>
                <w:b/>
                <w:sz w:val="24"/>
              </w:rPr>
              <w:t>8.</w:t>
            </w:r>
          </w:p>
        </w:tc>
        <w:tc>
          <w:tcPr>
            <w:tcW w:w="7578" w:type="dxa"/>
          </w:tcPr>
          <w:p w14:paraId="010CBF12" w14:textId="77777777" w:rsidR="007C507D" w:rsidRPr="00C2247C" w:rsidRDefault="007C507D" w:rsidP="007C507D">
            <w:pPr>
              <w:spacing w:before="60" w:after="0"/>
              <w:jc w:val="left"/>
              <w:rPr>
                <w:rFonts w:cs="Arial"/>
                <w:b/>
                <w:sz w:val="24"/>
              </w:rPr>
            </w:pPr>
            <w:r w:rsidRPr="00C2247C">
              <w:rPr>
                <w:rFonts w:cs="Arial"/>
                <w:b/>
                <w:sz w:val="24"/>
              </w:rPr>
              <w:t>Overall Responsibility for the Document</w:t>
            </w:r>
          </w:p>
        </w:tc>
        <w:tc>
          <w:tcPr>
            <w:tcW w:w="1134" w:type="dxa"/>
            <w:shd w:val="clear" w:color="auto" w:fill="D9D9D9"/>
          </w:tcPr>
          <w:p w14:paraId="010CBF13" w14:textId="77777777" w:rsidR="007C507D" w:rsidRPr="00C2247C" w:rsidRDefault="007C507D" w:rsidP="007C507D">
            <w:pPr>
              <w:spacing w:before="60" w:after="0"/>
              <w:jc w:val="center"/>
              <w:rPr>
                <w:rFonts w:cs="Arial"/>
                <w:i/>
                <w:sz w:val="24"/>
              </w:rPr>
            </w:pPr>
          </w:p>
        </w:tc>
      </w:tr>
      <w:tr w:rsidR="007C507D" w:rsidRPr="00C2247C" w14:paraId="010CBF18" w14:textId="77777777" w:rsidTr="00F7351D">
        <w:tc>
          <w:tcPr>
            <w:tcW w:w="720" w:type="dxa"/>
          </w:tcPr>
          <w:p w14:paraId="010CBF15" w14:textId="77777777" w:rsidR="007C507D" w:rsidRPr="00C2247C" w:rsidRDefault="007C507D" w:rsidP="007C507D">
            <w:pPr>
              <w:spacing w:before="60" w:after="0"/>
              <w:rPr>
                <w:rFonts w:cs="Arial"/>
                <w:sz w:val="24"/>
              </w:rPr>
            </w:pPr>
          </w:p>
        </w:tc>
        <w:tc>
          <w:tcPr>
            <w:tcW w:w="7578" w:type="dxa"/>
          </w:tcPr>
          <w:p w14:paraId="010CBF16" w14:textId="4A35CEBD" w:rsidR="007C507D" w:rsidRPr="00C2247C" w:rsidRDefault="007C507D" w:rsidP="007C507D">
            <w:pPr>
              <w:spacing w:before="60" w:after="0"/>
              <w:jc w:val="left"/>
              <w:rPr>
                <w:rFonts w:cs="Arial"/>
                <w:sz w:val="24"/>
              </w:rPr>
            </w:pPr>
            <w:r w:rsidRPr="00C2247C">
              <w:rPr>
                <w:rFonts w:cs="Arial"/>
                <w:sz w:val="24"/>
              </w:rPr>
              <w:t xml:space="preserve">Is it clear who will be responsible for co-ordinating the dissemination, </w:t>
            </w:r>
            <w:r w:rsidR="002B213B" w:rsidRPr="00C2247C">
              <w:rPr>
                <w:rFonts w:cs="Arial"/>
                <w:sz w:val="24"/>
              </w:rPr>
              <w:t>implementation,</w:t>
            </w:r>
            <w:r w:rsidRPr="00C2247C">
              <w:rPr>
                <w:rFonts w:cs="Arial"/>
                <w:sz w:val="24"/>
              </w:rPr>
              <w:t xml:space="preserve"> and review of the document?</w:t>
            </w:r>
          </w:p>
        </w:tc>
        <w:tc>
          <w:tcPr>
            <w:tcW w:w="1134" w:type="dxa"/>
          </w:tcPr>
          <w:p w14:paraId="010CBF17" w14:textId="77777777" w:rsidR="007C507D" w:rsidRPr="00C2247C" w:rsidRDefault="007255CC" w:rsidP="007C507D">
            <w:pPr>
              <w:spacing w:before="60" w:after="0"/>
              <w:jc w:val="center"/>
              <w:rPr>
                <w:rFonts w:cs="Arial"/>
                <w:i/>
                <w:sz w:val="24"/>
              </w:rPr>
            </w:pPr>
            <w:r w:rsidRPr="00C2247C">
              <w:rPr>
                <w:rFonts w:cs="Arial"/>
                <w:i/>
                <w:sz w:val="24"/>
              </w:rPr>
              <w:t>Yes</w:t>
            </w:r>
          </w:p>
        </w:tc>
      </w:tr>
    </w:tbl>
    <w:p w14:paraId="010CBF19" w14:textId="77777777" w:rsidR="007C507D" w:rsidRPr="00C2247C" w:rsidRDefault="007C507D" w:rsidP="007C507D">
      <w:pPr>
        <w:spacing w:before="0" w:after="0"/>
        <w:rPr>
          <w:rFonts w:cs="Arial"/>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C507D" w:rsidRPr="00C2247C" w14:paraId="010CBF1B" w14:textId="77777777" w:rsidTr="00F7351D">
        <w:tc>
          <w:tcPr>
            <w:tcW w:w="9900" w:type="dxa"/>
            <w:gridSpan w:val="4"/>
          </w:tcPr>
          <w:p w14:paraId="010CBF1A" w14:textId="77777777" w:rsidR="007C507D" w:rsidRPr="00C2247C" w:rsidRDefault="005E7BCF" w:rsidP="007C507D">
            <w:pPr>
              <w:spacing w:before="40" w:after="40"/>
              <w:rPr>
                <w:rFonts w:cs="Arial"/>
                <w:b/>
                <w:sz w:val="24"/>
              </w:rPr>
            </w:pPr>
            <w:r w:rsidRPr="00C2247C">
              <w:rPr>
                <w:rFonts w:cs="Arial"/>
                <w:b/>
                <w:sz w:val="24"/>
              </w:rPr>
              <w:t>Name of</w:t>
            </w:r>
            <w:r w:rsidR="007C507D" w:rsidRPr="00C2247C">
              <w:rPr>
                <w:rFonts w:cs="Arial"/>
                <w:b/>
                <w:sz w:val="24"/>
              </w:rPr>
              <w:t xml:space="preserve"> the Chair of the Committee / Group approving</w:t>
            </w:r>
          </w:p>
        </w:tc>
      </w:tr>
      <w:tr w:rsidR="007C507D" w:rsidRPr="00C2247C" w14:paraId="010CBF1D" w14:textId="77777777" w:rsidTr="00F7351D">
        <w:tc>
          <w:tcPr>
            <w:tcW w:w="9900" w:type="dxa"/>
            <w:gridSpan w:val="4"/>
          </w:tcPr>
          <w:p w14:paraId="010CBF1C" w14:textId="77777777" w:rsidR="007C507D" w:rsidRPr="00C2247C" w:rsidRDefault="007C507D" w:rsidP="000235E9">
            <w:pPr>
              <w:spacing w:before="40" w:after="40"/>
              <w:rPr>
                <w:rFonts w:cs="Arial"/>
                <w:sz w:val="24"/>
              </w:rPr>
            </w:pPr>
            <w:r w:rsidRPr="00C2247C">
              <w:rPr>
                <w:rFonts w:cs="Arial"/>
                <w:sz w:val="24"/>
              </w:rPr>
              <w:t>If you are assured this document mee</w:t>
            </w:r>
            <w:r w:rsidR="00802BA5" w:rsidRPr="00C2247C">
              <w:rPr>
                <w:rFonts w:cs="Arial"/>
                <w:sz w:val="24"/>
              </w:rPr>
              <w:t>ts requirements</w:t>
            </w:r>
            <w:r w:rsidRPr="00C2247C">
              <w:rPr>
                <w:rFonts w:cs="Arial"/>
                <w:sz w:val="24"/>
              </w:rPr>
              <w:t xml:space="preserve"> and that it will provide an essential element in ensuring a safe and effective workforce, please sign and date below and forward to the chair of the committee/group where it will be ratified.</w:t>
            </w:r>
          </w:p>
        </w:tc>
      </w:tr>
      <w:tr w:rsidR="007C507D" w:rsidRPr="00C2247C" w14:paraId="010CBF22" w14:textId="77777777" w:rsidTr="00F7351D">
        <w:tc>
          <w:tcPr>
            <w:tcW w:w="1800" w:type="dxa"/>
          </w:tcPr>
          <w:p w14:paraId="010CBF1E" w14:textId="77777777" w:rsidR="007C507D" w:rsidRPr="00C2247C" w:rsidRDefault="007C507D" w:rsidP="007C507D">
            <w:pPr>
              <w:spacing w:before="0" w:after="0"/>
              <w:rPr>
                <w:rFonts w:cs="Arial"/>
                <w:sz w:val="24"/>
              </w:rPr>
            </w:pPr>
            <w:r w:rsidRPr="00C2247C">
              <w:rPr>
                <w:rFonts w:cs="Arial"/>
                <w:sz w:val="24"/>
              </w:rPr>
              <w:t>Name</w:t>
            </w:r>
          </w:p>
        </w:tc>
        <w:tc>
          <w:tcPr>
            <w:tcW w:w="4140" w:type="dxa"/>
          </w:tcPr>
          <w:p w14:paraId="010CBF1F" w14:textId="39C0DF48" w:rsidR="007C507D" w:rsidRPr="00C2247C" w:rsidRDefault="00A13521" w:rsidP="007C507D">
            <w:pPr>
              <w:spacing w:before="40" w:after="40"/>
              <w:rPr>
                <w:rFonts w:cs="Arial"/>
                <w:i/>
                <w:sz w:val="24"/>
              </w:rPr>
            </w:pPr>
            <w:r>
              <w:rPr>
                <w:rFonts w:cs="Arial"/>
                <w:i/>
                <w:sz w:val="24"/>
              </w:rPr>
              <w:t>Catherine Wardle</w:t>
            </w:r>
          </w:p>
        </w:tc>
        <w:tc>
          <w:tcPr>
            <w:tcW w:w="1260" w:type="dxa"/>
          </w:tcPr>
          <w:p w14:paraId="010CBF20" w14:textId="77777777" w:rsidR="007C507D" w:rsidRPr="00C2247C" w:rsidRDefault="007C507D" w:rsidP="007C507D">
            <w:pPr>
              <w:spacing w:before="40" w:after="40"/>
              <w:rPr>
                <w:rFonts w:cs="Arial"/>
                <w:sz w:val="24"/>
              </w:rPr>
            </w:pPr>
            <w:r w:rsidRPr="00C2247C">
              <w:rPr>
                <w:rFonts w:cs="Arial"/>
                <w:sz w:val="24"/>
              </w:rPr>
              <w:t>Date</w:t>
            </w:r>
          </w:p>
        </w:tc>
        <w:tc>
          <w:tcPr>
            <w:tcW w:w="2700" w:type="dxa"/>
          </w:tcPr>
          <w:p w14:paraId="010CBF21" w14:textId="238100EB" w:rsidR="007C507D" w:rsidRPr="00C2247C" w:rsidRDefault="00AE672B" w:rsidP="007C507D">
            <w:pPr>
              <w:spacing w:before="40" w:after="40"/>
              <w:rPr>
                <w:rFonts w:cs="Arial"/>
                <w:i/>
                <w:sz w:val="24"/>
              </w:rPr>
            </w:pPr>
            <w:r>
              <w:rPr>
                <w:rFonts w:cs="Arial"/>
                <w:i/>
                <w:sz w:val="24"/>
              </w:rPr>
              <w:t>09/02/2023</w:t>
            </w:r>
          </w:p>
        </w:tc>
      </w:tr>
      <w:tr w:rsidR="007C507D" w:rsidRPr="00C2247C" w14:paraId="010CBF24" w14:textId="77777777" w:rsidTr="00F7351D">
        <w:tc>
          <w:tcPr>
            <w:tcW w:w="9900" w:type="dxa"/>
            <w:gridSpan w:val="4"/>
          </w:tcPr>
          <w:p w14:paraId="010CBF23" w14:textId="77777777" w:rsidR="007C507D" w:rsidRPr="00C2247C" w:rsidRDefault="005E7BCF" w:rsidP="007C507D">
            <w:pPr>
              <w:spacing w:before="40" w:after="40"/>
              <w:rPr>
                <w:rFonts w:cs="Arial"/>
                <w:b/>
                <w:sz w:val="24"/>
              </w:rPr>
            </w:pPr>
            <w:r w:rsidRPr="00C2247C">
              <w:rPr>
                <w:rFonts w:cs="Arial"/>
                <w:b/>
                <w:sz w:val="24"/>
              </w:rPr>
              <w:t>Name of</w:t>
            </w:r>
            <w:r w:rsidR="007C507D" w:rsidRPr="00C2247C">
              <w:rPr>
                <w:rFonts w:cs="Arial"/>
                <w:b/>
                <w:sz w:val="24"/>
              </w:rPr>
              <w:t xml:space="preserve"> the chair of the Group/Committee ratifying</w:t>
            </w:r>
          </w:p>
        </w:tc>
      </w:tr>
      <w:tr w:rsidR="007C507D" w:rsidRPr="00C2247C" w14:paraId="010CBF26" w14:textId="77777777" w:rsidTr="00F7351D">
        <w:tc>
          <w:tcPr>
            <w:tcW w:w="9900" w:type="dxa"/>
            <w:gridSpan w:val="4"/>
          </w:tcPr>
          <w:p w14:paraId="010CBF25" w14:textId="142795F9" w:rsidR="007C507D" w:rsidRPr="00C2247C" w:rsidRDefault="007C507D" w:rsidP="000235E9">
            <w:pPr>
              <w:spacing w:before="40" w:after="40"/>
              <w:rPr>
                <w:rFonts w:cs="Arial"/>
                <w:sz w:val="24"/>
              </w:rPr>
            </w:pPr>
            <w:r w:rsidRPr="00C2247C">
              <w:rPr>
                <w:rFonts w:cs="Arial"/>
                <w:sz w:val="24"/>
              </w:rPr>
              <w:t xml:space="preserve">If </w:t>
            </w:r>
            <w:r w:rsidR="000235E9" w:rsidRPr="00C2247C">
              <w:rPr>
                <w:rFonts w:cs="Arial"/>
                <w:sz w:val="24"/>
              </w:rPr>
              <w:t>you are</w:t>
            </w:r>
            <w:r w:rsidRPr="00C2247C">
              <w:rPr>
                <w:rFonts w:cs="Arial"/>
                <w:sz w:val="24"/>
              </w:rPr>
              <w:t xml:space="preserve"> assured that the group or committee approving this procedural document have fulfilled its </w:t>
            </w:r>
            <w:r w:rsidR="002B213B" w:rsidRPr="00C2247C">
              <w:rPr>
                <w:rFonts w:cs="Arial"/>
                <w:sz w:val="24"/>
              </w:rPr>
              <w:t>obligation,</w:t>
            </w:r>
            <w:r w:rsidRPr="00C2247C">
              <w:rPr>
                <w:rFonts w:cs="Arial"/>
                <w:sz w:val="24"/>
              </w:rPr>
              <w:t xml:space="preserve"> please </w:t>
            </w:r>
            <w:r w:rsidR="002B213B" w:rsidRPr="00C2247C">
              <w:rPr>
                <w:rFonts w:cs="Arial"/>
                <w:sz w:val="24"/>
              </w:rPr>
              <w:t>sign,</w:t>
            </w:r>
            <w:r w:rsidRPr="00C2247C">
              <w:rPr>
                <w:rFonts w:cs="Arial"/>
                <w:sz w:val="24"/>
              </w:rPr>
              <w:t xml:space="preserve"> and date it and return to the procedural document author who will ensure the document is disseminated and uploaded onto Staffnet.</w:t>
            </w:r>
          </w:p>
        </w:tc>
      </w:tr>
      <w:tr w:rsidR="007C507D" w:rsidRPr="00C2247C" w14:paraId="010CBF2B" w14:textId="77777777" w:rsidTr="00F7351D">
        <w:tc>
          <w:tcPr>
            <w:tcW w:w="1800" w:type="dxa"/>
          </w:tcPr>
          <w:p w14:paraId="010CBF27" w14:textId="77777777" w:rsidR="007C507D" w:rsidRPr="00C2247C" w:rsidRDefault="007C507D" w:rsidP="007C507D">
            <w:pPr>
              <w:spacing w:before="40" w:after="40"/>
              <w:rPr>
                <w:rFonts w:cs="Arial"/>
                <w:sz w:val="24"/>
              </w:rPr>
            </w:pPr>
            <w:r w:rsidRPr="00C2247C">
              <w:rPr>
                <w:rFonts w:cs="Arial"/>
                <w:sz w:val="24"/>
              </w:rPr>
              <w:t>Name</w:t>
            </w:r>
          </w:p>
        </w:tc>
        <w:tc>
          <w:tcPr>
            <w:tcW w:w="4140" w:type="dxa"/>
          </w:tcPr>
          <w:p w14:paraId="010CBF28" w14:textId="594AEEDB" w:rsidR="007C507D" w:rsidRPr="00C2247C" w:rsidRDefault="007460BB" w:rsidP="007C507D">
            <w:pPr>
              <w:spacing w:before="40" w:after="40"/>
              <w:rPr>
                <w:rFonts w:cs="Arial"/>
                <w:i/>
                <w:sz w:val="24"/>
              </w:rPr>
            </w:pPr>
            <w:r>
              <w:rPr>
                <w:rFonts w:cs="Arial"/>
                <w:i/>
                <w:sz w:val="24"/>
              </w:rPr>
              <w:t>David Syms</w:t>
            </w:r>
          </w:p>
        </w:tc>
        <w:tc>
          <w:tcPr>
            <w:tcW w:w="1260" w:type="dxa"/>
          </w:tcPr>
          <w:p w14:paraId="010CBF29" w14:textId="77777777" w:rsidR="007C507D" w:rsidRPr="00C2247C" w:rsidRDefault="007C507D" w:rsidP="007C507D">
            <w:pPr>
              <w:spacing w:before="40" w:after="40"/>
              <w:rPr>
                <w:rFonts w:cs="Arial"/>
                <w:sz w:val="24"/>
              </w:rPr>
            </w:pPr>
            <w:r w:rsidRPr="00C2247C">
              <w:rPr>
                <w:rFonts w:cs="Arial"/>
                <w:sz w:val="24"/>
              </w:rPr>
              <w:t>Date</w:t>
            </w:r>
          </w:p>
        </w:tc>
        <w:tc>
          <w:tcPr>
            <w:tcW w:w="2700" w:type="dxa"/>
          </w:tcPr>
          <w:p w14:paraId="010CBF2A" w14:textId="7E233801" w:rsidR="007C507D" w:rsidRPr="00C2247C" w:rsidRDefault="00235A00" w:rsidP="007C507D">
            <w:pPr>
              <w:spacing w:before="40" w:after="40"/>
              <w:rPr>
                <w:rFonts w:cs="Arial"/>
                <w:i/>
                <w:sz w:val="24"/>
              </w:rPr>
            </w:pPr>
            <w:r>
              <w:rPr>
                <w:rFonts w:cs="Arial"/>
                <w:i/>
                <w:sz w:val="24"/>
              </w:rPr>
              <w:t>21/03/2023</w:t>
            </w:r>
          </w:p>
        </w:tc>
      </w:tr>
    </w:tbl>
    <w:p w14:paraId="010CBF2C" w14:textId="77777777" w:rsidR="00F62EE5" w:rsidRPr="00C2247C" w:rsidRDefault="00F62EE5" w:rsidP="00802BA5">
      <w:pPr>
        <w:spacing w:before="0" w:after="0"/>
        <w:rPr>
          <w:rFonts w:cs="Arial"/>
          <w:b/>
          <w:bCs/>
          <w:sz w:val="24"/>
        </w:rPr>
      </w:pPr>
    </w:p>
    <w:sectPr w:rsidR="00F62EE5" w:rsidRPr="00C2247C" w:rsidSect="00FB5960">
      <w:headerReference w:type="even" r:id="rId30"/>
      <w:headerReference w:type="default" r:id="rId31"/>
      <w:headerReference w:type="firs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AFBC" w14:textId="77777777" w:rsidR="00CF510C" w:rsidRDefault="00CF510C" w:rsidP="0096422F">
      <w:pPr>
        <w:spacing w:before="0" w:after="0"/>
      </w:pPr>
      <w:r>
        <w:separator/>
      </w:r>
    </w:p>
  </w:endnote>
  <w:endnote w:type="continuationSeparator" w:id="0">
    <w:p w14:paraId="59A9101F" w14:textId="77777777" w:rsidR="00CF510C" w:rsidRDefault="00CF510C"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F3D" w14:textId="2C1FA85D" w:rsidR="002F038E" w:rsidRPr="0096422F" w:rsidRDefault="002F038E" w:rsidP="00A04820">
    <w:pPr>
      <w:pStyle w:val="Footer"/>
      <w:spacing w:before="0"/>
      <w:ind w:right="26"/>
      <w:rPr>
        <w:rFonts w:cs="Arial"/>
        <w:sz w:val="20"/>
        <w:lang w:val="en-US"/>
      </w:rPr>
    </w:pPr>
    <w:r w:rsidRPr="0096422F">
      <w:rPr>
        <w:rFonts w:cs="Arial"/>
        <w:sz w:val="20"/>
        <w:lang w:val="en-US"/>
      </w:rPr>
      <w:t>Date effective from:</w:t>
    </w:r>
    <w:r w:rsidR="000803F9">
      <w:rPr>
        <w:rFonts w:cs="Arial"/>
        <w:sz w:val="20"/>
        <w:lang w:val="en-US"/>
      </w:rPr>
      <w:t xml:space="preserve"> </w:t>
    </w:r>
    <w:r w:rsidR="00235A00">
      <w:rPr>
        <w:rFonts w:cs="Arial"/>
        <w:sz w:val="20"/>
        <w:lang w:val="en-US"/>
      </w:rPr>
      <w:t>21 March 2023</w:t>
    </w:r>
    <w:r w:rsidRPr="0096422F">
      <w:rPr>
        <w:rFonts w:cs="Arial"/>
        <w:sz w:val="20"/>
        <w:lang w:val="en-US"/>
      </w:rPr>
      <w:tab/>
    </w:r>
    <w:r w:rsidRPr="0096422F">
      <w:rPr>
        <w:rFonts w:cs="Arial"/>
        <w:sz w:val="20"/>
        <w:lang w:val="en-US"/>
      </w:rPr>
      <w:tab/>
      <w:t xml:space="preserve">         Page </w:t>
    </w:r>
    <w:r w:rsidRPr="0096422F">
      <w:rPr>
        <w:rFonts w:cs="Arial"/>
        <w:sz w:val="20"/>
        <w:lang w:val="en-US"/>
      </w:rPr>
      <w:fldChar w:fldCharType="begin"/>
    </w:r>
    <w:r w:rsidRPr="0096422F">
      <w:rPr>
        <w:rFonts w:cs="Arial"/>
        <w:sz w:val="20"/>
        <w:lang w:val="en-US"/>
      </w:rPr>
      <w:instrText xml:space="preserve"> PAGE </w:instrText>
    </w:r>
    <w:r w:rsidRPr="0096422F">
      <w:rPr>
        <w:rFonts w:cs="Arial"/>
        <w:sz w:val="20"/>
        <w:lang w:val="en-US"/>
      </w:rPr>
      <w:fldChar w:fldCharType="separate"/>
    </w:r>
    <w:r w:rsidR="004B3727">
      <w:rPr>
        <w:rFonts w:cs="Arial"/>
        <w:noProof/>
        <w:sz w:val="20"/>
        <w:lang w:val="en-US"/>
      </w:rPr>
      <w:t>20</w:t>
    </w:r>
    <w:r w:rsidRPr="0096422F">
      <w:rPr>
        <w:rFonts w:cs="Arial"/>
        <w:sz w:val="20"/>
        <w:lang w:val="en-US"/>
      </w:rPr>
      <w:fldChar w:fldCharType="end"/>
    </w:r>
    <w:r w:rsidRPr="0096422F">
      <w:rPr>
        <w:rFonts w:cs="Arial"/>
        <w:sz w:val="20"/>
        <w:lang w:val="en-US"/>
      </w:rPr>
      <w:t xml:space="preserve"> of </w:t>
    </w:r>
    <w:r w:rsidRPr="0096422F">
      <w:rPr>
        <w:rFonts w:cs="Arial"/>
        <w:sz w:val="20"/>
        <w:lang w:val="en-US"/>
      </w:rPr>
      <w:fldChar w:fldCharType="begin"/>
    </w:r>
    <w:r w:rsidRPr="0096422F">
      <w:rPr>
        <w:rFonts w:cs="Arial"/>
        <w:sz w:val="20"/>
        <w:lang w:val="en-US"/>
      </w:rPr>
      <w:instrText xml:space="preserve"> NUMPAGES </w:instrText>
    </w:r>
    <w:r w:rsidRPr="0096422F">
      <w:rPr>
        <w:rFonts w:cs="Arial"/>
        <w:sz w:val="20"/>
        <w:lang w:val="en-US"/>
      </w:rPr>
      <w:fldChar w:fldCharType="separate"/>
    </w:r>
    <w:r w:rsidR="004B3727">
      <w:rPr>
        <w:rFonts w:cs="Arial"/>
        <w:noProof/>
        <w:sz w:val="20"/>
        <w:lang w:val="en-US"/>
      </w:rPr>
      <w:t>21</w:t>
    </w:r>
    <w:r w:rsidRPr="0096422F">
      <w:rPr>
        <w:rFonts w:cs="Arial"/>
        <w:sz w:val="20"/>
        <w:lang w:val="en-US"/>
      </w:rPr>
      <w:fldChar w:fldCharType="end"/>
    </w:r>
  </w:p>
  <w:p w14:paraId="010CBF3E" w14:textId="77777777" w:rsidR="002F038E" w:rsidRPr="0096422F" w:rsidRDefault="002F038E" w:rsidP="00A04820">
    <w:pPr>
      <w:pStyle w:val="Footer"/>
      <w:spacing w:before="0"/>
      <w:ind w:right="357"/>
      <w:rPr>
        <w:rFonts w:cs="Arial"/>
        <w:sz w:val="20"/>
        <w:lang w:val="en-US"/>
      </w:rPr>
    </w:pPr>
    <w:r w:rsidRPr="0096422F">
      <w:rPr>
        <w:rFonts w:cs="Arial"/>
        <w:sz w:val="20"/>
        <w:lang w:val="en-US"/>
      </w:rPr>
      <w:t xml:space="preserve">Document Reference Number: </w:t>
    </w:r>
    <w:r>
      <w:rPr>
        <w:rFonts w:cs="Arial"/>
        <w:sz w:val="20"/>
        <w:lang w:val="en-US"/>
      </w:rPr>
      <w:t>C-0010</w:t>
    </w:r>
  </w:p>
  <w:p w14:paraId="010CBF3F" w14:textId="2587EB0C" w:rsidR="002F038E" w:rsidRPr="007D62A9" w:rsidRDefault="002F038E" w:rsidP="007D62A9">
    <w:pPr>
      <w:pStyle w:val="Footer"/>
      <w:spacing w:before="0"/>
      <w:ind w:right="357"/>
      <w:rPr>
        <w:rFonts w:cs="Arial"/>
        <w:sz w:val="20"/>
      </w:rPr>
    </w:pPr>
    <w:r w:rsidRPr="0096422F">
      <w:rPr>
        <w:rFonts w:cs="Arial"/>
        <w:sz w:val="20"/>
        <w:lang w:val="en-US"/>
      </w:rPr>
      <w:t xml:space="preserve">Version No: </w:t>
    </w:r>
    <w:r w:rsidR="00235A00">
      <w:rPr>
        <w:rFonts w:cs="Arial"/>
        <w:sz w:val="20"/>
        <w:lang w:val="en-US"/>
      </w:rPr>
      <w:t>3</w:t>
    </w:r>
    <w:r>
      <w:rPr>
        <w:rFonts w:cs="Arial"/>
        <w:sz w:val="20"/>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23F6" w14:textId="77777777" w:rsidR="00CF510C" w:rsidRDefault="00CF510C" w:rsidP="0096422F">
      <w:pPr>
        <w:spacing w:before="0" w:after="0"/>
      </w:pPr>
      <w:r>
        <w:separator/>
      </w:r>
    </w:p>
  </w:footnote>
  <w:footnote w:type="continuationSeparator" w:id="0">
    <w:p w14:paraId="1EF5133D" w14:textId="77777777" w:rsidR="00CF510C" w:rsidRDefault="00CF510C" w:rsidP="0096422F">
      <w:pPr>
        <w:spacing w:before="0" w:after="0"/>
      </w:pPr>
      <w:r>
        <w:continuationSeparator/>
      </w:r>
    </w:p>
  </w:footnote>
  <w:footnote w:id="1">
    <w:p w14:paraId="3537277C" w14:textId="77777777" w:rsidR="007628B0" w:rsidRPr="0078043B" w:rsidRDefault="007628B0" w:rsidP="007628B0">
      <w:pPr>
        <w:pStyle w:val="FootnoteText"/>
      </w:pPr>
      <w:r w:rsidRPr="0078043B">
        <w:rPr>
          <w:rStyle w:val="FootnoteReference"/>
        </w:rPr>
        <w:footnoteRef/>
      </w:r>
      <w:r w:rsidRPr="0078043B">
        <w:t xml:space="preserve"> Royal College of Physicians (2018) Mortality toolkit: Implementing structured judgement reviews for improvement  </w:t>
      </w:r>
    </w:p>
  </w:footnote>
  <w:footnote w:id="2">
    <w:p w14:paraId="1FF283B6" w14:textId="77777777" w:rsidR="007628B0" w:rsidRDefault="007628B0" w:rsidP="007628B0">
      <w:pPr>
        <w:pStyle w:val="FootnoteText"/>
      </w:pPr>
      <w:r w:rsidRPr="0078043B">
        <w:rPr>
          <w:rStyle w:val="FootnoteReference"/>
        </w:rPr>
        <w:footnoteRef/>
      </w:r>
      <w:r w:rsidRPr="0078043B">
        <w:t xml:space="preserve"> Royal College of Psychiatrists (2018) Care Review Tool for Mortality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F3C" w14:textId="77777777" w:rsidR="002F038E" w:rsidRDefault="002F038E" w:rsidP="0096422F">
    <w:pPr>
      <w:pStyle w:val="Header"/>
      <w:jc w:val="right"/>
    </w:pPr>
    <w:r>
      <w:rPr>
        <w:noProof/>
      </w:rPr>
      <w:drawing>
        <wp:inline distT="0" distB="0" distL="0" distR="0" wp14:anchorId="010CBF43" wp14:editId="010CBF44">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F40" w14:textId="77777777" w:rsidR="002F038E" w:rsidRDefault="002F0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F41" w14:textId="77777777" w:rsidR="002F038E" w:rsidRDefault="002F038E" w:rsidP="00350963">
    <w:pPr>
      <w:pStyle w:val="Header"/>
      <w:jc w:val="right"/>
    </w:pPr>
    <w:r w:rsidRPr="00350963">
      <w:rPr>
        <w:noProof/>
      </w:rPr>
      <w:drawing>
        <wp:inline distT="0" distB="0" distL="0" distR="0" wp14:anchorId="010CBF45" wp14:editId="010CBF46">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F42" w14:textId="77777777" w:rsidR="002F038E" w:rsidRDefault="002F0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F48"/>
    <w:multiLevelType w:val="hybridMultilevel"/>
    <w:tmpl w:val="9AE4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31D4"/>
    <w:multiLevelType w:val="hybridMultilevel"/>
    <w:tmpl w:val="B3FC6FCE"/>
    <w:lvl w:ilvl="0" w:tplc="E42055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634A"/>
    <w:multiLevelType w:val="multilevel"/>
    <w:tmpl w:val="A7F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64748"/>
    <w:multiLevelType w:val="multilevel"/>
    <w:tmpl w:val="025617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D5077"/>
    <w:multiLevelType w:val="hybridMultilevel"/>
    <w:tmpl w:val="964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C375B"/>
    <w:multiLevelType w:val="hybridMultilevel"/>
    <w:tmpl w:val="642085D0"/>
    <w:lvl w:ilvl="0" w:tplc="229AE290">
      <w:numFmt w:val="bullet"/>
      <w:lvlText w:val="•"/>
      <w:lvlJc w:val="left"/>
      <w:pPr>
        <w:ind w:left="720" w:hanging="360"/>
      </w:pPr>
      <w:rPr>
        <w:rFonts w:ascii="Arial" w:eastAsia="Times New Roman" w:hAnsi="Arial" w:cs="Arial" w:hint="default"/>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D64821"/>
    <w:multiLevelType w:val="hybridMultilevel"/>
    <w:tmpl w:val="3B9E685C"/>
    <w:lvl w:ilvl="0" w:tplc="08090001">
      <w:start w:val="1"/>
      <w:numFmt w:val="bullet"/>
      <w:lvlText w:val=""/>
      <w:lvlJc w:val="left"/>
      <w:pPr>
        <w:ind w:left="720" w:hanging="360"/>
      </w:pPr>
      <w:rPr>
        <w:rFonts w:ascii="Symbol" w:hAnsi="Symbol" w:hint="default"/>
      </w:rPr>
    </w:lvl>
    <w:lvl w:ilvl="1" w:tplc="FA0AE8E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A3F05"/>
    <w:multiLevelType w:val="hybridMultilevel"/>
    <w:tmpl w:val="038C7C28"/>
    <w:lvl w:ilvl="0" w:tplc="FFFFFFFF">
      <w:numFmt w:val="bullet"/>
      <w:lvlText w:val="•"/>
      <w:lvlJc w:val="left"/>
      <w:pPr>
        <w:ind w:left="720" w:hanging="360"/>
      </w:pPr>
      <w:rPr>
        <w:rFonts w:ascii="Arial" w:eastAsia="Times New Roman" w:hAnsi="Arial" w:cs="Arial" w:hint="default"/>
      </w:rPr>
    </w:lvl>
    <w:lvl w:ilvl="1" w:tplc="229AE29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A6138C"/>
    <w:multiLevelType w:val="hybridMultilevel"/>
    <w:tmpl w:val="16285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615240"/>
    <w:multiLevelType w:val="hybridMultilevel"/>
    <w:tmpl w:val="B3E28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C642BA"/>
    <w:multiLevelType w:val="multilevel"/>
    <w:tmpl w:val="13F4E38C"/>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12" w15:restartNumberingAfterBreak="0">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43442"/>
    <w:multiLevelType w:val="hybridMultilevel"/>
    <w:tmpl w:val="246C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51A6A"/>
    <w:multiLevelType w:val="hybridMultilevel"/>
    <w:tmpl w:val="46EE6BC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D18D6"/>
    <w:multiLevelType w:val="hybridMultilevel"/>
    <w:tmpl w:val="AC9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D5CDF"/>
    <w:multiLevelType w:val="hybridMultilevel"/>
    <w:tmpl w:val="2A36DBCA"/>
    <w:lvl w:ilvl="0" w:tplc="08090001">
      <w:start w:val="1"/>
      <w:numFmt w:val="bullet"/>
      <w:lvlText w:val=""/>
      <w:lvlJc w:val="left"/>
      <w:pPr>
        <w:ind w:left="720" w:hanging="360"/>
      </w:pPr>
      <w:rPr>
        <w:rFonts w:ascii="Symbol" w:hAnsi="Symbol" w:hint="default"/>
      </w:rPr>
    </w:lvl>
    <w:lvl w:ilvl="1" w:tplc="68701BC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664EB"/>
    <w:multiLevelType w:val="hybridMultilevel"/>
    <w:tmpl w:val="C94619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E6217EB"/>
    <w:multiLevelType w:val="hybridMultilevel"/>
    <w:tmpl w:val="CE66D792"/>
    <w:lvl w:ilvl="0" w:tplc="F726FD5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F2349"/>
    <w:multiLevelType w:val="hybridMultilevel"/>
    <w:tmpl w:val="AF3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D2DA0"/>
    <w:multiLevelType w:val="multilevel"/>
    <w:tmpl w:val="2E30695E"/>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E71139"/>
    <w:multiLevelType w:val="hybridMultilevel"/>
    <w:tmpl w:val="CDA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22FA8"/>
    <w:multiLevelType w:val="multilevel"/>
    <w:tmpl w:val="025617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D72E7B"/>
    <w:multiLevelType w:val="hybridMultilevel"/>
    <w:tmpl w:val="A7F2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A6383"/>
    <w:multiLevelType w:val="hybridMultilevel"/>
    <w:tmpl w:val="AE84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907235">
    <w:abstractNumId w:val="12"/>
  </w:num>
  <w:num w:numId="2" w16cid:durableId="1838417998">
    <w:abstractNumId w:val="15"/>
  </w:num>
  <w:num w:numId="3" w16cid:durableId="1246301476">
    <w:abstractNumId w:val="10"/>
  </w:num>
  <w:num w:numId="4" w16cid:durableId="22095134">
    <w:abstractNumId w:val="22"/>
  </w:num>
  <w:num w:numId="5" w16cid:durableId="1921135903">
    <w:abstractNumId w:val="24"/>
  </w:num>
  <w:num w:numId="6" w16cid:durableId="135998098">
    <w:abstractNumId w:val="3"/>
  </w:num>
  <w:num w:numId="7" w16cid:durableId="1067414168">
    <w:abstractNumId w:val="19"/>
  </w:num>
  <w:num w:numId="8" w16cid:durableId="928585019">
    <w:abstractNumId w:val="16"/>
  </w:num>
  <w:num w:numId="9" w16cid:durableId="882013153">
    <w:abstractNumId w:val="20"/>
  </w:num>
  <w:num w:numId="10" w16cid:durableId="69468442">
    <w:abstractNumId w:val="23"/>
  </w:num>
  <w:num w:numId="11" w16cid:durableId="1257396588">
    <w:abstractNumId w:val="25"/>
  </w:num>
  <w:num w:numId="12" w16cid:durableId="1915551889">
    <w:abstractNumId w:val="17"/>
  </w:num>
  <w:num w:numId="13" w16cid:durableId="286358925">
    <w:abstractNumId w:val="9"/>
  </w:num>
  <w:num w:numId="14" w16cid:durableId="1726218893">
    <w:abstractNumId w:val="8"/>
  </w:num>
  <w:num w:numId="15" w16cid:durableId="852501511">
    <w:abstractNumId w:val="18"/>
  </w:num>
  <w:num w:numId="16" w16cid:durableId="1530873915">
    <w:abstractNumId w:val="11"/>
  </w:num>
  <w:num w:numId="17" w16cid:durableId="868101874">
    <w:abstractNumId w:val="1"/>
  </w:num>
  <w:num w:numId="18" w16cid:durableId="1158960688">
    <w:abstractNumId w:val="13"/>
  </w:num>
  <w:num w:numId="19" w16cid:durableId="337583445">
    <w:abstractNumId w:val="26"/>
  </w:num>
  <w:num w:numId="20" w16cid:durableId="12534357">
    <w:abstractNumId w:val="0"/>
  </w:num>
  <w:num w:numId="21" w16cid:durableId="1317953055">
    <w:abstractNumId w:val="6"/>
  </w:num>
  <w:num w:numId="22" w16cid:durableId="1742214046">
    <w:abstractNumId w:val="21"/>
  </w:num>
  <w:num w:numId="23" w16cid:durableId="683633824">
    <w:abstractNumId w:val="4"/>
  </w:num>
  <w:num w:numId="24" w16cid:durableId="1588660009">
    <w:abstractNumId w:val="14"/>
  </w:num>
  <w:num w:numId="25" w16cid:durableId="1755083579">
    <w:abstractNumId w:val="7"/>
  </w:num>
  <w:num w:numId="26" w16cid:durableId="1568415820">
    <w:abstractNumId w:val="5"/>
  </w:num>
  <w:num w:numId="27" w16cid:durableId="19043686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C"/>
    <w:rsid w:val="000062C2"/>
    <w:rsid w:val="000124E9"/>
    <w:rsid w:val="0002201B"/>
    <w:rsid w:val="000235E9"/>
    <w:rsid w:val="00023A1D"/>
    <w:rsid w:val="000310AF"/>
    <w:rsid w:val="00031B8A"/>
    <w:rsid w:val="000324E6"/>
    <w:rsid w:val="0003316B"/>
    <w:rsid w:val="00054642"/>
    <w:rsid w:val="000628F3"/>
    <w:rsid w:val="00062E99"/>
    <w:rsid w:val="000675FF"/>
    <w:rsid w:val="00074D7D"/>
    <w:rsid w:val="000803F9"/>
    <w:rsid w:val="00081F5F"/>
    <w:rsid w:val="00083404"/>
    <w:rsid w:val="000854E7"/>
    <w:rsid w:val="00085CD8"/>
    <w:rsid w:val="000A22CB"/>
    <w:rsid w:val="000A66B1"/>
    <w:rsid w:val="000B1210"/>
    <w:rsid w:val="000D0E4A"/>
    <w:rsid w:val="000D27D9"/>
    <w:rsid w:val="000E0383"/>
    <w:rsid w:val="000E5404"/>
    <w:rsid w:val="000F52BE"/>
    <w:rsid w:val="000F5516"/>
    <w:rsid w:val="00100A69"/>
    <w:rsid w:val="0010100C"/>
    <w:rsid w:val="00101B70"/>
    <w:rsid w:val="00102D88"/>
    <w:rsid w:val="00110943"/>
    <w:rsid w:val="00126284"/>
    <w:rsid w:val="00152FE7"/>
    <w:rsid w:val="00164AB0"/>
    <w:rsid w:val="00176A15"/>
    <w:rsid w:val="00176AD0"/>
    <w:rsid w:val="001A5B2D"/>
    <w:rsid w:val="001A68E4"/>
    <w:rsid w:val="001B2C75"/>
    <w:rsid w:val="001D380F"/>
    <w:rsid w:val="001E43B4"/>
    <w:rsid w:val="001F3930"/>
    <w:rsid w:val="001F76F9"/>
    <w:rsid w:val="002059D5"/>
    <w:rsid w:val="002228C6"/>
    <w:rsid w:val="00227276"/>
    <w:rsid w:val="002353EF"/>
    <w:rsid w:val="00235A00"/>
    <w:rsid w:val="00235F49"/>
    <w:rsid w:val="0023737E"/>
    <w:rsid w:val="002375F1"/>
    <w:rsid w:val="002378F9"/>
    <w:rsid w:val="002409CF"/>
    <w:rsid w:val="00250BC4"/>
    <w:rsid w:val="0025732E"/>
    <w:rsid w:val="0026543F"/>
    <w:rsid w:val="00274D0C"/>
    <w:rsid w:val="0027582E"/>
    <w:rsid w:val="00281C6E"/>
    <w:rsid w:val="00282566"/>
    <w:rsid w:val="00291504"/>
    <w:rsid w:val="00294739"/>
    <w:rsid w:val="002949D4"/>
    <w:rsid w:val="002A1E27"/>
    <w:rsid w:val="002B213B"/>
    <w:rsid w:val="002C6EA4"/>
    <w:rsid w:val="002E72B9"/>
    <w:rsid w:val="002F038E"/>
    <w:rsid w:val="002F61B2"/>
    <w:rsid w:val="00310191"/>
    <w:rsid w:val="00310A24"/>
    <w:rsid w:val="00315827"/>
    <w:rsid w:val="003379F6"/>
    <w:rsid w:val="0035001B"/>
    <w:rsid w:val="00350963"/>
    <w:rsid w:val="00354049"/>
    <w:rsid w:val="00357F3E"/>
    <w:rsid w:val="00361DB3"/>
    <w:rsid w:val="0038510E"/>
    <w:rsid w:val="00391558"/>
    <w:rsid w:val="00392311"/>
    <w:rsid w:val="003A4244"/>
    <w:rsid w:val="003A6006"/>
    <w:rsid w:val="003D5C1F"/>
    <w:rsid w:val="003D619A"/>
    <w:rsid w:val="003F2D33"/>
    <w:rsid w:val="003F7D9B"/>
    <w:rsid w:val="00406295"/>
    <w:rsid w:val="004119DA"/>
    <w:rsid w:val="004210B4"/>
    <w:rsid w:val="004225D9"/>
    <w:rsid w:val="00423E57"/>
    <w:rsid w:val="00432935"/>
    <w:rsid w:val="00434AA6"/>
    <w:rsid w:val="00443743"/>
    <w:rsid w:val="0044428F"/>
    <w:rsid w:val="0044430F"/>
    <w:rsid w:val="00445308"/>
    <w:rsid w:val="00475049"/>
    <w:rsid w:val="00481755"/>
    <w:rsid w:val="00482A24"/>
    <w:rsid w:val="00483499"/>
    <w:rsid w:val="00494ABD"/>
    <w:rsid w:val="004A361B"/>
    <w:rsid w:val="004A7C4D"/>
    <w:rsid w:val="004B0A83"/>
    <w:rsid w:val="004B3727"/>
    <w:rsid w:val="004B5DCA"/>
    <w:rsid w:val="004C02A6"/>
    <w:rsid w:val="004C0957"/>
    <w:rsid w:val="004D080C"/>
    <w:rsid w:val="004D64E2"/>
    <w:rsid w:val="004E168D"/>
    <w:rsid w:val="004E28BB"/>
    <w:rsid w:val="004E6318"/>
    <w:rsid w:val="004E6DC0"/>
    <w:rsid w:val="004F1819"/>
    <w:rsid w:val="00505D6D"/>
    <w:rsid w:val="00506CED"/>
    <w:rsid w:val="0051754B"/>
    <w:rsid w:val="00520341"/>
    <w:rsid w:val="00523912"/>
    <w:rsid w:val="00525380"/>
    <w:rsid w:val="00530481"/>
    <w:rsid w:val="0053113F"/>
    <w:rsid w:val="00535D78"/>
    <w:rsid w:val="00536782"/>
    <w:rsid w:val="00537185"/>
    <w:rsid w:val="00540050"/>
    <w:rsid w:val="00540F81"/>
    <w:rsid w:val="00543F51"/>
    <w:rsid w:val="0054655D"/>
    <w:rsid w:val="005520EE"/>
    <w:rsid w:val="005639ED"/>
    <w:rsid w:val="00594F86"/>
    <w:rsid w:val="005A2A8A"/>
    <w:rsid w:val="005A4488"/>
    <w:rsid w:val="005B4827"/>
    <w:rsid w:val="005C4F45"/>
    <w:rsid w:val="005C5A16"/>
    <w:rsid w:val="005C6566"/>
    <w:rsid w:val="005C7E99"/>
    <w:rsid w:val="005D21A2"/>
    <w:rsid w:val="005D5D9D"/>
    <w:rsid w:val="005D7A37"/>
    <w:rsid w:val="005E2F12"/>
    <w:rsid w:val="005E7BCF"/>
    <w:rsid w:val="006006D7"/>
    <w:rsid w:val="00601116"/>
    <w:rsid w:val="00605240"/>
    <w:rsid w:val="006137A5"/>
    <w:rsid w:val="00624E36"/>
    <w:rsid w:val="0063096B"/>
    <w:rsid w:val="00631C21"/>
    <w:rsid w:val="00640E69"/>
    <w:rsid w:val="006449B5"/>
    <w:rsid w:val="0064592E"/>
    <w:rsid w:val="00670FB1"/>
    <w:rsid w:val="006828B6"/>
    <w:rsid w:val="006B49DA"/>
    <w:rsid w:val="006C47F6"/>
    <w:rsid w:val="006C4B28"/>
    <w:rsid w:val="006C5D27"/>
    <w:rsid w:val="006C7FF8"/>
    <w:rsid w:val="006D0B2A"/>
    <w:rsid w:val="006D64DD"/>
    <w:rsid w:val="006F06C2"/>
    <w:rsid w:val="006F1BC7"/>
    <w:rsid w:val="006F2B31"/>
    <w:rsid w:val="006F717D"/>
    <w:rsid w:val="006F730C"/>
    <w:rsid w:val="007132DB"/>
    <w:rsid w:val="007205AC"/>
    <w:rsid w:val="0072527A"/>
    <w:rsid w:val="007255CC"/>
    <w:rsid w:val="00733343"/>
    <w:rsid w:val="007460BB"/>
    <w:rsid w:val="0075161F"/>
    <w:rsid w:val="007628B0"/>
    <w:rsid w:val="00763F7A"/>
    <w:rsid w:val="00773966"/>
    <w:rsid w:val="007757EA"/>
    <w:rsid w:val="00776D86"/>
    <w:rsid w:val="007822CB"/>
    <w:rsid w:val="00787A9A"/>
    <w:rsid w:val="0079415C"/>
    <w:rsid w:val="007A1A63"/>
    <w:rsid w:val="007A54AA"/>
    <w:rsid w:val="007B2A1D"/>
    <w:rsid w:val="007C0563"/>
    <w:rsid w:val="007C2FA5"/>
    <w:rsid w:val="007C507D"/>
    <w:rsid w:val="007D5DE9"/>
    <w:rsid w:val="007D62A9"/>
    <w:rsid w:val="007E0914"/>
    <w:rsid w:val="007E4912"/>
    <w:rsid w:val="00802BA5"/>
    <w:rsid w:val="008155D0"/>
    <w:rsid w:val="008168F1"/>
    <w:rsid w:val="00825962"/>
    <w:rsid w:val="008337F2"/>
    <w:rsid w:val="00844C3B"/>
    <w:rsid w:val="00852679"/>
    <w:rsid w:val="0085292F"/>
    <w:rsid w:val="008625F6"/>
    <w:rsid w:val="00886571"/>
    <w:rsid w:val="0088789F"/>
    <w:rsid w:val="008913ED"/>
    <w:rsid w:val="008B01BF"/>
    <w:rsid w:val="008C3001"/>
    <w:rsid w:val="008C34FB"/>
    <w:rsid w:val="008D288D"/>
    <w:rsid w:val="008E760C"/>
    <w:rsid w:val="008F789B"/>
    <w:rsid w:val="00905F25"/>
    <w:rsid w:val="00936960"/>
    <w:rsid w:val="00942D1E"/>
    <w:rsid w:val="0094642F"/>
    <w:rsid w:val="0095710D"/>
    <w:rsid w:val="009636DF"/>
    <w:rsid w:val="0096422F"/>
    <w:rsid w:val="00964357"/>
    <w:rsid w:val="00975020"/>
    <w:rsid w:val="00991D47"/>
    <w:rsid w:val="009D3BDF"/>
    <w:rsid w:val="009E2701"/>
    <w:rsid w:val="009F556D"/>
    <w:rsid w:val="00A04820"/>
    <w:rsid w:val="00A106B6"/>
    <w:rsid w:val="00A124E7"/>
    <w:rsid w:val="00A13521"/>
    <w:rsid w:val="00A16BFA"/>
    <w:rsid w:val="00A170C3"/>
    <w:rsid w:val="00A225C4"/>
    <w:rsid w:val="00A2375F"/>
    <w:rsid w:val="00A3110A"/>
    <w:rsid w:val="00A35984"/>
    <w:rsid w:val="00A51759"/>
    <w:rsid w:val="00A6200A"/>
    <w:rsid w:val="00A62A57"/>
    <w:rsid w:val="00A7145B"/>
    <w:rsid w:val="00A7272A"/>
    <w:rsid w:val="00A74FC1"/>
    <w:rsid w:val="00A8097B"/>
    <w:rsid w:val="00AA4A09"/>
    <w:rsid w:val="00AB095D"/>
    <w:rsid w:val="00AC1CD7"/>
    <w:rsid w:val="00AC7815"/>
    <w:rsid w:val="00AC7C46"/>
    <w:rsid w:val="00AD041B"/>
    <w:rsid w:val="00AD2171"/>
    <w:rsid w:val="00AD2ED6"/>
    <w:rsid w:val="00AE4F6A"/>
    <w:rsid w:val="00AE672B"/>
    <w:rsid w:val="00AE74A6"/>
    <w:rsid w:val="00AF34C6"/>
    <w:rsid w:val="00AF4E90"/>
    <w:rsid w:val="00B10038"/>
    <w:rsid w:val="00B142B5"/>
    <w:rsid w:val="00B17E51"/>
    <w:rsid w:val="00B2175C"/>
    <w:rsid w:val="00B377C2"/>
    <w:rsid w:val="00B44BDD"/>
    <w:rsid w:val="00B75B12"/>
    <w:rsid w:val="00B82124"/>
    <w:rsid w:val="00B8412B"/>
    <w:rsid w:val="00B9566C"/>
    <w:rsid w:val="00BA706E"/>
    <w:rsid w:val="00BB05E9"/>
    <w:rsid w:val="00BB27C5"/>
    <w:rsid w:val="00BC3020"/>
    <w:rsid w:val="00BC31B6"/>
    <w:rsid w:val="00BC6EB8"/>
    <w:rsid w:val="00BD30AD"/>
    <w:rsid w:val="00BD35B4"/>
    <w:rsid w:val="00BD4B2E"/>
    <w:rsid w:val="00BD4D13"/>
    <w:rsid w:val="00BD610D"/>
    <w:rsid w:val="00BE0900"/>
    <w:rsid w:val="00BE1C75"/>
    <w:rsid w:val="00BF35EE"/>
    <w:rsid w:val="00BF70A6"/>
    <w:rsid w:val="00C05FDC"/>
    <w:rsid w:val="00C14E57"/>
    <w:rsid w:val="00C2247C"/>
    <w:rsid w:val="00C30292"/>
    <w:rsid w:val="00C3111C"/>
    <w:rsid w:val="00C34378"/>
    <w:rsid w:val="00C3507F"/>
    <w:rsid w:val="00C36F9B"/>
    <w:rsid w:val="00C65059"/>
    <w:rsid w:val="00C66727"/>
    <w:rsid w:val="00C8036F"/>
    <w:rsid w:val="00C9112B"/>
    <w:rsid w:val="00C974D9"/>
    <w:rsid w:val="00CB1D8E"/>
    <w:rsid w:val="00CB3F98"/>
    <w:rsid w:val="00CB544F"/>
    <w:rsid w:val="00CB713C"/>
    <w:rsid w:val="00CD7C86"/>
    <w:rsid w:val="00CE0781"/>
    <w:rsid w:val="00CE1B53"/>
    <w:rsid w:val="00CF4896"/>
    <w:rsid w:val="00CF510C"/>
    <w:rsid w:val="00CF571A"/>
    <w:rsid w:val="00D15B29"/>
    <w:rsid w:val="00D202ED"/>
    <w:rsid w:val="00D25EF6"/>
    <w:rsid w:val="00D3400C"/>
    <w:rsid w:val="00D53B4C"/>
    <w:rsid w:val="00D631F6"/>
    <w:rsid w:val="00D63590"/>
    <w:rsid w:val="00D703C8"/>
    <w:rsid w:val="00D734E0"/>
    <w:rsid w:val="00D74C73"/>
    <w:rsid w:val="00D81FF4"/>
    <w:rsid w:val="00D94D51"/>
    <w:rsid w:val="00D96E53"/>
    <w:rsid w:val="00DA07FE"/>
    <w:rsid w:val="00DA1256"/>
    <w:rsid w:val="00DA6C3D"/>
    <w:rsid w:val="00DB41B2"/>
    <w:rsid w:val="00DC1C2C"/>
    <w:rsid w:val="00DC3E01"/>
    <w:rsid w:val="00DC45F5"/>
    <w:rsid w:val="00DC63B5"/>
    <w:rsid w:val="00DD0A36"/>
    <w:rsid w:val="00DD2945"/>
    <w:rsid w:val="00DE2BF8"/>
    <w:rsid w:val="00E13E88"/>
    <w:rsid w:val="00E2357E"/>
    <w:rsid w:val="00E369CB"/>
    <w:rsid w:val="00E421C5"/>
    <w:rsid w:val="00E42BC6"/>
    <w:rsid w:val="00E443F3"/>
    <w:rsid w:val="00E51DD5"/>
    <w:rsid w:val="00E56CF2"/>
    <w:rsid w:val="00E60CAF"/>
    <w:rsid w:val="00E644F5"/>
    <w:rsid w:val="00E67014"/>
    <w:rsid w:val="00E7456D"/>
    <w:rsid w:val="00E802D9"/>
    <w:rsid w:val="00E805A6"/>
    <w:rsid w:val="00E91764"/>
    <w:rsid w:val="00E95EB9"/>
    <w:rsid w:val="00EA155D"/>
    <w:rsid w:val="00EB6BCF"/>
    <w:rsid w:val="00EC0B13"/>
    <w:rsid w:val="00EC4F68"/>
    <w:rsid w:val="00EC557A"/>
    <w:rsid w:val="00EC6906"/>
    <w:rsid w:val="00EC77F0"/>
    <w:rsid w:val="00ED129A"/>
    <w:rsid w:val="00ED34A1"/>
    <w:rsid w:val="00EE4CAA"/>
    <w:rsid w:val="00EF64D3"/>
    <w:rsid w:val="00F03021"/>
    <w:rsid w:val="00F052EA"/>
    <w:rsid w:val="00F05FF8"/>
    <w:rsid w:val="00F237BF"/>
    <w:rsid w:val="00F24053"/>
    <w:rsid w:val="00F30C7D"/>
    <w:rsid w:val="00F344EC"/>
    <w:rsid w:val="00F40E8E"/>
    <w:rsid w:val="00F5359C"/>
    <w:rsid w:val="00F53D1A"/>
    <w:rsid w:val="00F5560F"/>
    <w:rsid w:val="00F62EE5"/>
    <w:rsid w:val="00F6457F"/>
    <w:rsid w:val="00F71FAE"/>
    <w:rsid w:val="00F7351D"/>
    <w:rsid w:val="00F86CDE"/>
    <w:rsid w:val="00F87CEB"/>
    <w:rsid w:val="00F927A7"/>
    <w:rsid w:val="00F93614"/>
    <w:rsid w:val="00F94B7A"/>
    <w:rsid w:val="00FA2521"/>
    <w:rsid w:val="00FA2F0F"/>
    <w:rsid w:val="00FB5960"/>
    <w:rsid w:val="00FC111A"/>
    <w:rsid w:val="00FD21AB"/>
    <w:rsid w:val="00FD2ED8"/>
    <w:rsid w:val="00FE6240"/>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CBCF5"/>
  <w15:docId w15:val="{AD85DFC1-66FD-4009-8B37-E24B9FE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F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101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3"/>
      </w:numPr>
    </w:pPr>
  </w:style>
  <w:style w:type="numbering" w:customStyle="1" w:styleId="Style2">
    <w:name w:val="Style2"/>
    <w:uiPriority w:val="99"/>
    <w:rsid w:val="000F5516"/>
    <w:pPr>
      <w:numPr>
        <w:numId w:val="4"/>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unhideWhenUsed/>
    <w:rsid w:val="00FB5960"/>
    <w:rPr>
      <w:sz w:val="20"/>
      <w:szCs w:val="20"/>
    </w:rPr>
  </w:style>
  <w:style w:type="character" w:customStyle="1" w:styleId="CommentTextChar">
    <w:name w:val="Comment Text Char"/>
    <w:basedOn w:val="DefaultParagraphFont"/>
    <w:link w:val="CommentText"/>
    <w:uiPriority w:val="99"/>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customStyle="1" w:styleId="Bullet">
    <w:name w:val="Bullet"/>
    <w:basedOn w:val="Normal"/>
    <w:qFormat/>
    <w:rsid w:val="002378F9"/>
    <w:pPr>
      <w:numPr>
        <w:numId w:val="7"/>
      </w:numPr>
      <w:tabs>
        <w:tab w:val="left" w:pos="425"/>
      </w:tabs>
      <w:spacing w:before="60" w:after="60"/>
      <w:jc w:val="left"/>
    </w:pPr>
    <w:rPr>
      <w:lang w:val="en-US" w:eastAsia="en-US"/>
    </w:rPr>
  </w:style>
  <w:style w:type="paragraph" w:customStyle="1" w:styleId="Default">
    <w:name w:val="Default"/>
    <w:rsid w:val="00F7351D"/>
    <w:pPr>
      <w:autoSpaceDE w:val="0"/>
      <w:autoSpaceDN w:val="0"/>
      <w:adjustRightInd w:val="0"/>
      <w:spacing w:after="0" w:line="240" w:lineRule="auto"/>
    </w:pPr>
    <w:rPr>
      <w:rFonts w:ascii="Arial" w:eastAsia="Times New Roman" w:hAnsi="Arial" w:cs="Arial"/>
      <w:color w:val="000000"/>
      <w:sz w:val="24"/>
      <w:szCs w:val="24"/>
      <w:lang w:eastAsia="de-DE"/>
    </w:rPr>
  </w:style>
  <w:style w:type="table" w:customStyle="1" w:styleId="TableGrid1">
    <w:name w:val="Table Grid1"/>
    <w:basedOn w:val="TableNormal"/>
    <w:next w:val="TableGrid"/>
    <w:rsid w:val="00A7272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D64DD"/>
    <w:pPr>
      <w:spacing w:after="0" w:line="240" w:lineRule="auto"/>
    </w:pPr>
  </w:style>
  <w:style w:type="paragraph" w:styleId="FootnoteText">
    <w:name w:val="footnote text"/>
    <w:basedOn w:val="Normal"/>
    <w:link w:val="FootnoteTextChar"/>
    <w:uiPriority w:val="99"/>
    <w:semiHidden/>
    <w:unhideWhenUsed/>
    <w:rsid w:val="006D64DD"/>
    <w:pPr>
      <w:spacing w:before="0" w:after="0"/>
      <w:jc w:val="left"/>
    </w:pPr>
    <w:rPr>
      <w:sz w:val="20"/>
      <w:szCs w:val="20"/>
    </w:rPr>
  </w:style>
  <w:style w:type="character" w:customStyle="1" w:styleId="FootnoteTextChar">
    <w:name w:val="Footnote Text Char"/>
    <w:basedOn w:val="DefaultParagraphFont"/>
    <w:link w:val="FootnoteText"/>
    <w:uiPriority w:val="99"/>
    <w:semiHidden/>
    <w:rsid w:val="006D64D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D64DD"/>
    <w:rPr>
      <w:vertAlign w:val="superscript"/>
    </w:rPr>
  </w:style>
  <w:style w:type="character" w:styleId="FollowedHyperlink">
    <w:name w:val="FollowedHyperlink"/>
    <w:basedOn w:val="DefaultParagraphFont"/>
    <w:uiPriority w:val="99"/>
    <w:semiHidden/>
    <w:unhideWhenUsed/>
    <w:rsid w:val="00F94B7A"/>
    <w:rPr>
      <w:color w:val="800080" w:themeColor="followedHyperlink"/>
      <w:u w:val="single"/>
    </w:rPr>
  </w:style>
  <w:style w:type="character" w:styleId="UnresolvedMention">
    <w:name w:val="Unresolved Mention"/>
    <w:basedOn w:val="DefaultParagraphFont"/>
    <w:uiPriority w:val="99"/>
    <w:semiHidden/>
    <w:unhideWhenUsed/>
    <w:rsid w:val="00A16BFA"/>
    <w:rPr>
      <w:color w:val="605E5C"/>
      <w:shd w:val="clear" w:color="auto" w:fill="E1DFDD"/>
    </w:rPr>
  </w:style>
  <w:style w:type="character" w:customStyle="1" w:styleId="external">
    <w:name w:val="external"/>
    <w:basedOn w:val="DefaultParagraphFont"/>
    <w:rsid w:val="00A16BFA"/>
  </w:style>
  <w:style w:type="character" w:customStyle="1" w:styleId="Heading1Char">
    <w:name w:val="Heading 1 Char"/>
    <w:basedOn w:val="DefaultParagraphFont"/>
    <w:link w:val="Heading1"/>
    <w:uiPriority w:val="9"/>
    <w:rsid w:val="00101B70"/>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505D6D"/>
    <w:rPr>
      <w:sz w:val="16"/>
      <w:szCs w:val="16"/>
    </w:rPr>
  </w:style>
  <w:style w:type="paragraph" w:styleId="Revision">
    <w:name w:val="Revision"/>
    <w:hidden/>
    <w:uiPriority w:val="99"/>
    <w:semiHidden/>
    <w:rsid w:val="00506CED"/>
    <w:pPr>
      <w:spacing w:after="0" w:line="240" w:lineRule="auto"/>
    </w:pPr>
    <w:rPr>
      <w:rFonts w:ascii="Arial" w:eastAsia="Times New Roman" w:hAnsi="Arial" w:cs="Times New Roman"/>
      <w:szCs w:val="24"/>
      <w:lang w:eastAsia="en-GB"/>
    </w:rPr>
  </w:style>
  <w:style w:type="character" w:customStyle="1" w:styleId="cf01">
    <w:name w:val="cf01"/>
    <w:basedOn w:val="DefaultParagraphFont"/>
    <w:rsid w:val="00E13E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517895202">
      <w:bodyDiv w:val="1"/>
      <w:marLeft w:val="0"/>
      <w:marRight w:val="0"/>
      <w:marTop w:val="0"/>
      <w:marBottom w:val="0"/>
      <w:divBdr>
        <w:top w:val="none" w:sz="0" w:space="0" w:color="auto"/>
        <w:left w:val="none" w:sz="0" w:space="0" w:color="auto"/>
        <w:bottom w:val="none" w:sz="0" w:space="0" w:color="auto"/>
        <w:right w:val="none" w:sz="0" w:space="0" w:color="auto"/>
      </w:divBdr>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17942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der.nhs.uk/report" TargetMode="External"/><Relationship Id="rId18" Type="http://schemas.openxmlformats.org/officeDocument/2006/relationships/hyperlink" Target="https://www.cqc.org.uk/publications/themed-work/learning-candour-and-accountability" TargetMode="External"/><Relationship Id="rId26" Type="http://schemas.openxmlformats.org/officeDocument/2006/relationships/hyperlink" Target="https://www.rcplondon.ac.uk/guidelines-policy/mortality-toolkit-implementing-structured-judgement-reviews-improvement" TargetMode="External"/><Relationship Id="rId3" Type="http://schemas.openxmlformats.org/officeDocument/2006/relationships/customXml" Target="../customXml/item3.xml"/><Relationship Id="rId21" Type="http://schemas.openxmlformats.org/officeDocument/2006/relationships/hyperlink" Target="http://www.cqc.org.uk/guidance-providers/regulations-enforcement/regulation-20-duty-candou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gland.nhs.uk/patient-safety/learning-from-deaths-in-the-nhs/" TargetMode="External"/><Relationship Id="rId25" Type="http://schemas.openxmlformats.org/officeDocument/2006/relationships/hyperlink" Target="https://www.rcpsych.ac.uk/improving-care/campaigning-for-better-mental-health-policy/care-review-tool-for-mental-health-trus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improvement.nhs.uk/uploads/documents/serious-incidnt-framwr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gland.nhs.uk/ourwork/part-rel/nqb/national-guidance-for-nhs-trusts-engaging-with-bereaved-families/"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ons.gov.uk/releases/updatedestimatesofcoronaviruscovid19relateddeathsbydisabilitystatusenglandandwales2marchto20november2020" TargetMode="External"/><Relationship Id="rId23" Type="http://schemas.openxmlformats.org/officeDocument/2006/relationships/hyperlink" Target="https://www.gov.uk/government/publications/child-death-reviews-forms-for-reporting-child-death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ngland.nhs.uk/wp-content/uploads/2017/03/nqb-national-guidance-learning-from-deaths.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stol.ac.uk/media-library/sites/sps/leder/LeDeR_2019_annual_report_FINAL2.pdf" TargetMode="External"/><Relationship Id="rId22" Type="http://schemas.openxmlformats.org/officeDocument/2006/relationships/hyperlink" Target="https://www.gov.uk/government/uploads/system/uploads/attachment_data/file/592101/Working_Together_to_Safeguard_Children_20170213.pdf" TargetMode="External"/><Relationship Id="rId27" Type="http://schemas.openxmlformats.org/officeDocument/2006/relationships/hyperlink" Target="mailto:diversity.lypft@nhs.net"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DCPublishedVersionNumber xmlns="28cb8f8e-29e0-4a7c-8bb2-7bf5dc98cc72">3</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15</Value>
      <Value>864</Value>
      <Value>317</Value>
      <Value>946</Value>
      <Value>6</Value>
      <Value>3</Value>
      <Value>18</Value>
    </TaxCatchAll>
    <MDCNextReviewDate xmlns="28cb8f8e-29e0-4a7c-8bb2-7bf5dc98cc72">2024-03-21T00:00:00+00:00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Learning from Incidents and Mortality Meeting</TermName>
          <TermId xmlns="http://schemas.microsoft.com/office/infopath/2007/PartnerControls">f69515fd-bc8f-4999-90ce-c6ebd8a7e7ff</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C-0010</TermName>
          <TermId xmlns="http://schemas.microsoft.com/office/infopath/2007/PartnerControls">0e7c2930-55df-4590-bc75-9557e525ee7a</TermId>
        </TermInfo>
      </Terms>
    </hacf98b5548243028e3a222a1584c1b3>
    <MDCPublishedDate xmlns="28cb8f8e-29e0-4a7c-8bb2-7bf5dc98cc72">2023-03-21T00:00:00+00:00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9ee1baa8-f72c-4138-8268-4ca7c8fe92a3</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2023-03-21T00:00:00+00:00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Catherine Wardle, Head of Quality and Patient Safety</TermName>
          <TermId xmlns="http://schemas.microsoft.com/office/infopath/2007/PartnerControls">f3ff3935-bd59-4d72-b8f9-f61e4e2d6125</TermId>
        </TermInfo>
      </Terms>
    </nbf9f6db1d794bda86a108ee751e4b43>
    <_dlc_DocId xmlns="28cb8f8e-29e0-4a7c-8bb2-7bf5dc98cc72">2ESN3ACQHJS5-1220145654-428</_dlc_DocId>
    <_dlc_DocIdUrl xmlns="28cb8f8e-29e0-4a7c-8bb2-7bf5dc98cc72">
      <Url>http://staffnet2/sites/DocumentCentre/_layouts/15/DocIdRedir.aspx?ID=2ESN3ACQHJS5-1220145654-428</Url>
      <Description>2ESN3ACQHJS5-1220145654-428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4540-034C-4099-BBA1-45193E678EBB}">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5C980716-F06E-4105-A647-A8BC2579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57E5E-3F30-4673-B70B-EFF6F1CFDCD1}">
  <ds:schemaRefs>
    <ds:schemaRef ds:uri="http://schemas.microsoft.com/sharepoint/events"/>
  </ds:schemaRefs>
</ds:datastoreItem>
</file>

<file path=customXml/itemProps5.xml><?xml version="1.0" encoding="utf-8"?>
<ds:datastoreItem xmlns:ds="http://schemas.openxmlformats.org/officeDocument/2006/customXml" ds:itemID="{B311622D-723D-4C5B-9F3D-FB005BD1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7316</Words>
  <Characters>41706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C-0010 Learning from Deaths Policy</vt:lpstr>
    </vt:vector>
  </TitlesOfParts>
  <Company>Leeds PFT</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C-0010 Learning from Deaths Policy</dc:title>
  <dc:creator>woodwarc</dc:creator>
  <cp:lastModifiedBy>BETTS, Kieran (LEEDS AND YORK PARTNERSHIP NHS FOUNDATION TRUST)</cp:lastModifiedBy>
  <cp:revision>6</cp:revision>
  <cp:lastPrinted>2017-08-23T13:16:00Z</cp:lastPrinted>
  <dcterms:created xsi:type="dcterms:W3CDTF">2023-03-14T11:42:00Z</dcterms:created>
  <dcterms:modified xsi:type="dcterms:W3CDTF">2023-03-21T14:27:00Z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MDCDepartment">
    <vt:lpwstr>18;#Clinical|9ee1baa8-f72c-4138-8268-4ca7c8fe92a3</vt:lpwstr>
  </property>
  <property fmtid="{D5CDD505-2E9C-101B-9397-08002B2CF9AE}" pid="5" name="MDCDocumentApprover">
    <vt:lpwstr>864;#Learning from Incidents and Mortality Meeting|f69515fd-bc8f-4999-90ce-c6ebd8a7e7ff</vt:lpwstr>
  </property>
  <property fmtid="{D5CDD505-2E9C-101B-9397-08002B2CF9AE}" pid="6" name="MDCPolicyCategory">
    <vt:lpwstr>317;#C-0010|0e7c2930-55df-4590-bc75-9557e525ee7a</vt:lpwstr>
  </property>
  <property fmtid="{D5CDD505-2E9C-101B-9397-08002B2CF9AE}" pid="7" name="MDCRelevancy">
    <vt:lpwstr>3;#Group-wide|fba64628-a205-4ce2-8494-3def26e60c52</vt:lpwstr>
  </property>
  <property fmtid="{D5CDD505-2E9C-101B-9397-08002B2CF9AE}" pid="8" name="_dlc_DocIdItemGuid">
    <vt:lpwstr>6b7c2462-67c6-48c2-8fdb-fc4282228016</vt:lpwstr>
  </property>
  <property fmtid="{D5CDD505-2E9C-101B-9397-08002B2CF9AE}" pid="9" name="MDCDocumentOwner">
    <vt:lpwstr>946;#Catherine Wardle, Head of Quality and Patient Safety|f3ff3935-bd59-4d72-b8f9-f61e4e2d6125</vt:lpwstr>
  </property>
  <property fmtid="{D5CDD505-2E9C-101B-9397-08002B2CF9AE}" pid="10" name="MercuryCategory">
    <vt:lpwstr>15;#Policy|f458b4f4-a58f-44d5-9026-1e9b7951ec5e</vt:lpwstr>
  </property>
  <property fmtid="{D5CDD505-2E9C-101B-9397-08002B2CF9AE}" pid="11" name="MDCSecurityClassification">
    <vt:lpwstr>6;#Internal|2b41dbf9-22b9-43e7-b47f-1a90589ff896</vt:lpwstr>
  </property>
</Properties>
</file>