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2A8C" w14:textId="12A7F96F" w:rsidR="001E425C" w:rsidRDefault="00B91198">
      <w:pPr>
        <w:rPr>
          <w:rFonts w:ascii="Arial" w:hAnsi="Arial" w:cs="Arial"/>
          <w:b/>
          <w:bCs/>
        </w:rPr>
      </w:pPr>
      <w:r>
        <w:rPr>
          <w:rFonts w:ascii="Arial" w:hAnsi="Arial" w:cs="Arial"/>
          <w:b/>
          <w:bCs/>
        </w:rPr>
        <w:t>Gender Pay Gap</w:t>
      </w:r>
      <w:r w:rsidR="00A463B9">
        <w:rPr>
          <w:rFonts w:ascii="Arial" w:hAnsi="Arial" w:cs="Arial"/>
          <w:b/>
          <w:bCs/>
        </w:rPr>
        <w:t xml:space="preserve"> Reporting Statement 2023</w:t>
      </w:r>
    </w:p>
    <w:p w14:paraId="0A098E86" w14:textId="2BAD559D" w:rsidR="00B91198" w:rsidRDefault="00B91198">
      <w:pPr>
        <w:rPr>
          <w:rFonts w:ascii="Arial" w:hAnsi="Arial" w:cs="Arial"/>
          <w:b/>
          <w:bCs/>
        </w:rPr>
      </w:pPr>
    </w:p>
    <w:p w14:paraId="33BA44F3" w14:textId="31E0A2CB" w:rsidR="00B91198" w:rsidRDefault="00B91198">
      <w:pPr>
        <w:rPr>
          <w:rFonts w:ascii="Arial" w:hAnsi="Arial" w:cs="Arial"/>
        </w:rPr>
      </w:pPr>
      <w:r>
        <w:rPr>
          <w:rFonts w:ascii="Arial" w:hAnsi="Arial" w:cs="Arial"/>
        </w:rPr>
        <w:t xml:space="preserve">On 8 March 2018 Leeds and York Partnership Foundation Trust published its first gender pay gap and bonus pay gap information on the Government gender pay gap web pages. The Equality Act 2017 Regulations require all organisations that employ more than 250 staff to publish their gender pay gap information from March 2018. A summary of all the results published so far can be found on the Government’s </w:t>
      </w:r>
      <w:hyperlink r:id="rId4" w:history="1">
        <w:r>
          <w:rPr>
            <w:rStyle w:val="Hyperlink"/>
            <w:rFonts w:ascii="Arial" w:hAnsi="Arial" w:cs="Arial"/>
          </w:rPr>
          <w:t>gender pay gap web pages.</w:t>
        </w:r>
      </w:hyperlink>
    </w:p>
    <w:p w14:paraId="11D21F97" w14:textId="098E3950" w:rsidR="00B91198" w:rsidRDefault="00B91198">
      <w:pPr>
        <w:rPr>
          <w:rFonts w:ascii="Arial" w:hAnsi="Arial" w:cs="Arial"/>
        </w:rPr>
      </w:pPr>
      <w:r>
        <w:rPr>
          <w:rFonts w:ascii="Arial" w:hAnsi="Arial" w:cs="Arial"/>
        </w:rPr>
        <w:t xml:space="preserve">In </w:t>
      </w:r>
      <w:r w:rsidR="00C50502">
        <w:rPr>
          <w:rFonts w:ascii="Arial" w:hAnsi="Arial" w:cs="Arial"/>
        </w:rPr>
        <w:t>January 2023</w:t>
      </w:r>
      <w:r>
        <w:rPr>
          <w:rFonts w:ascii="Arial" w:hAnsi="Arial" w:cs="Arial"/>
        </w:rPr>
        <w:t xml:space="preserve"> we published our most recent gender pay gap and bonus gender pay gap information.</w:t>
      </w:r>
      <w:r w:rsidR="00BA36E0">
        <w:rPr>
          <w:rFonts w:ascii="Arial" w:hAnsi="Arial" w:cs="Arial"/>
        </w:rPr>
        <w:t xml:space="preserve"> It should be noted that due to the Covid 19 pandemic that reporting was not required in 2020.</w:t>
      </w:r>
    </w:p>
    <w:p w14:paraId="30396AA2" w14:textId="4577F3F0" w:rsidR="00B635AD" w:rsidRDefault="00B635AD">
      <w:pPr>
        <w:rPr>
          <w:rFonts w:ascii="Arial" w:hAnsi="Arial" w:cs="Arial"/>
        </w:rPr>
      </w:pPr>
      <w:r>
        <w:rPr>
          <w:rFonts w:ascii="Arial" w:hAnsi="Arial" w:cs="Arial"/>
        </w:rPr>
        <w:t>The Trust aims to be in the top performing quartile of NHS organisations and to continue to reduce both the gender pay gap and the bonus gender pay gap over time.</w:t>
      </w:r>
    </w:p>
    <w:p w14:paraId="25D61A80" w14:textId="5B1ECBFE" w:rsidR="00B635AD" w:rsidRDefault="00B635AD">
      <w:pPr>
        <w:rPr>
          <w:rFonts w:ascii="Arial" w:hAnsi="Arial" w:cs="Arial"/>
        </w:rPr>
      </w:pPr>
      <w:r>
        <w:rPr>
          <w:rFonts w:ascii="Arial" w:hAnsi="Arial" w:cs="Arial"/>
        </w:rPr>
        <w:t>Analysis of the pay gap by pay band and staff group is carried out regularly to identify areas of the organisation where the pay gap is higher or lower than the Trust average so we can target interventions to reduce our overall pay gaps.</w:t>
      </w:r>
    </w:p>
    <w:p w14:paraId="1FC1673A" w14:textId="61059213" w:rsidR="00B91198" w:rsidRDefault="00B91198">
      <w:pPr>
        <w:rPr>
          <w:rFonts w:ascii="Arial" w:hAnsi="Arial" w:cs="Arial"/>
          <w:b/>
          <w:bCs/>
        </w:rPr>
      </w:pPr>
      <w:r>
        <w:rPr>
          <w:rFonts w:ascii="Arial" w:hAnsi="Arial" w:cs="Arial"/>
          <w:b/>
          <w:bCs/>
        </w:rPr>
        <w:t>Gender Pay Gap 2022</w:t>
      </w:r>
    </w:p>
    <w:tbl>
      <w:tblPr>
        <w:tblW w:w="8586" w:type="dxa"/>
        <w:tblInd w:w="420" w:type="dxa"/>
        <w:tblCellMar>
          <w:left w:w="0" w:type="dxa"/>
          <w:right w:w="0" w:type="dxa"/>
        </w:tblCellMar>
        <w:tblLook w:val="0420" w:firstRow="1" w:lastRow="0" w:firstColumn="0" w:lastColumn="0" w:noHBand="0" w:noVBand="1"/>
      </w:tblPr>
      <w:tblGrid>
        <w:gridCol w:w="3327"/>
        <w:gridCol w:w="951"/>
        <w:gridCol w:w="1218"/>
        <w:gridCol w:w="978"/>
        <w:gridCol w:w="1081"/>
        <w:gridCol w:w="1031"/>
      </w:tblGrid>
      <w:tr w:rsidR="00C50502" w14:paraId="083559B1" w14:textId="364EFBBA" w:rsidTr="00C50502">
        <w:tc>
          <w:tcPr>
            <w:tcW w:w="332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A2BE213" w14:textId="77777777" w:rsidR="00C50502" w:rsidRDefault="00C50502">
            <w:pPr>
              <w:spacing w:line="256" w:lineRule="auto"/>
              <w:rPr>
                <w:rFonts w:cs="Arial"/>
                <w:sz w:val="36"/>
                <w:szCs w:val="36"/>
                <w:lang w:eastAsia="en-GB"/>
              </w:rPr>
            </w:pPr>
            <w:r>
              <w:rPr>
                <w:rFonts w:cs="Arial"/>
                <w:b/>
                <w:bCs/>
                <w:color w:val="FFFFFF" w:themeColor="background1"/>
                <w:kern w:val="24"/>
                <w:lang w:eastAsia="en-GB"/>
              </w:rPr>
              <w:t>Results</w:t>
            </w:r>
          </w:p>
        </w:tc>
        <w:tc>
          <w:tcPr>
            <w:tcW w:w="951" w:type="dxa"/>
            <w:tcBorders>
              <w:top w:val="single" w:sz="8" w:space="0" w:color="FFFFFF"/>
              <w:left w:val="single" w:sz="8" w:space="0" w:color="FFFFFF"/>
              <w:bottom w:val="single" w:sz="24" w:space="0" w:color="FFFFFF"/>
              <w:right w:val="single" w:sz="8" w:space="0" w:color="FFFFFF"/>
            </w:tcBorders>
            <w:shd w:val="clear" w:color="auto" w:fill="4F81BD"/>
          </w:tcPr>
          <w:p w14:paraId="05150F26" w14:textId="3F4F1D7F" w:rsidR="00C50502" w:rsidRDefault="00C50502" w:rsidP="00BA36E0">
            <w:pPr>
              <w:spacing w:line="256" w:lineRule="auto"/>
              <w:jc w:val="center"/>
              <w:rPr>
                <w:rFonts w:cs="Arial"/>
                <w:b/>
                <w:bCs/>
                <w:color w:val="FFFFFF" w:themeColor="light1"/>
                <w:kern w:val="24"/>
                <w:lang w:eastAsia="en-GB"/>
              </w:rPr>
            </w:pPr>
            <w:r>
              <w:rPr>
                <w:rFonts w:cs="Arial"/>
                <w:b/>
                <w:bCs/>
                <w:color w:val="FFFFFF" w:themeColor="light1"/>
                <w:kern w:val="24"/>
                <w:lang w:eastAsia="en-GB"/>
              </w:rPr>
              <w:t>2018</w:t>
            </w:r>
          </w:p>
        </w:tc>
        <w:tc>
          <w:tcPr>
            <w:tcW w:w="12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08CB489" w14:textId="73C7904F" w:rsidR="00C50502" w:rsidRDefault="00C50502" w:rsidP="00E948E0">
            <w:pPr>
              <w:spacing w:line="256" w:lineRule="auto"/>
              <w:jc w:val="center"/>
              <w:rPr>
                <w:rFonts w:cs="Arial"/>
                <w:sz w:val="36"/>
                <w:szCs w:val="36"/>
                <w:lang w:eastAsia="en-GB"/>
              </w:rPr>
            </w:pPr>
            <w:r>
              <w:rPr>
                <w:rFonts w:cs="Arial"/>
                <w:b/>
                <w:bCs/>
                <w:color w:val="FFFFFF" w:themeColor="light1"/>
                <w:kern w:val="24"/>
                <w:lang w:eastAsia="en-GB"/>
              </w:rPr>
              <w:t>2019</w:t>
            </w:r>
          </w:p>
        </w:tc>
        <w:tc>
          <w:tcPr>
            <w:tcW w:w="97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0F6F077" w14:textId="77777777" w:rsidR="00C50502" w:rsidRDefault="00C50502">
            <w:pPr>
              <w:spacing w:line="256" w:lineRule="auto"/>
              <w:rPr>
                <w:rFonts w:cs="Arial"/>
                <w:sz w:val="36"/>
                <w:szCs w:val="36"/>
                <w:lang w:eastAsia="en-GB"/>
              </w:rPr>
            </w:pPr>
            <w:r>
              <w:rPr>
                <w:rFonts w:cs="Arial"/>
                <w:b/>
                <w:bCs/>
                <w:color w:val="FFFFFF" w:themeColor="light1"/>
                <w:kern w:val="24"/>
                <w:lang w:eastAsia="en-GB"/>
              </w:rPr>
              <w:t>2021</w:t>
            </w:r>
          </w:p>
        </w:tc>
        <w:tc>
          <w:tcPr>
            <w:tcW w:w="1081" w:type="dxa"/>
            <w:tcBorders>
              <w:top w:val="single" w:sz="8" w:space="0" w:color="FFFFFF"/>
              <w:left w:val="single" w:sz="8" w:space="0" w:color="FFFFFF"/>
              <w:bottom w:val="single" w:sz="24" w:space="0" w:color="FFFFFF"/>
              <w:right w:val="single" w:sz="8" w:space="0" w:color="FFFFFF"/>
            </w:tcBorders>
            <w:shd w:val="clear" w:color="auto" w:fill="4F81BD"/>
            <w:hideMark/>
          </w:tcPr>
          <w:p w14:paraId="7C73F971" w14:textId="77777777" w:rsidR="00C50502" w:rsidRDefault="00C50502">
            <w:pPr>
              <w:spacing w:line="256" w:lineRule="auto"/>
              <w:jc w:val="center"/>
              <w:rPr>
                <w:rFonts w:cs="Arial"/>
                <w:b/>
                <w:bCs/>
                <w:color w:val="FFFFFF" w:themeColor="light1"/>
                <w:kern w:val="24"/>
                <w:sz w:val="24"/>
                <w:szCs w:val="24"/>
                <w:lang w:eastAsia="en-GB"/>
              </w:rPr>
            </w:pPr>
            <w:r>
              <w:rPr>
                <w:rFonts w:cs="Arial"/>
                <w:b/>
                <w:bCs/>
                <w:color w:val="FFFFFF" w:themeColor="light1"/>
                <w:kern w:val="24"/>
                <w:lang w:eastAsia="en-GB"/>
              </w:rPr>
              <w:t>2022</w:t>
            </w:r>
          </w:p>
        </w:tc>
        <w:tc>
          <w:tcPr>
            <w:tcW w:w="1031" w:type="dxa"/>
            <w:tcBorders>
              <w:top w:val="single" w:sz="8" w:space="0" w:color="FFFFFF"/>
              <w:left w:val="single" w:sz="8" w:space="0" w:color="FFFFFF"/>
              <w:bottom w:val="single" w:sz="24" w:space="0" w:color="FFFFFF"/>
              <w:right w:val="single" w:sz="8" w:space="0" w:color="FFFFFF"/>
            </w:tcBorders>
            <w:shd w:val="clear" w:color="auto" w:fill="4F81BD"/>
          </w:tcPr>
          <w:p w14:paraId="0F1BEC4F" w14:textId="711033F2" w:rsidR="00C50502" w:rsidRDefault="00C50502">
            <w:pPr>
              <w:spacing w:line="256" w:lineRule="auto"/>
              <w:jc w:val="center"/>
              <w:rPr>
                <w:rFonts w:cs="Arial"/>
                <w:b/>
                <w:bCs/>
                <w:color w:val="FFFFFF" w:themeColor="light1"/>
                <w:kern w:val="24"/>
                <w:lang w:eastAsia="en-GB"/>
              </w:rPr>
            </w:pPr>
            <w:r>
              <w:rPr>
                <w:rFonts w:cs="Arial"/>
                <w:b/>
                <w:bCs/>
                <w:color w:val="FFFFFF" w:themeColor="light1"/>
                <w:kern w:val="24"/>
                <w:lang w:eastAsia="en-GB"/>
              </w:rPr>
              <w:t>2023</w:t>
            </w:r>
          </w:p>
        </w:tc>
      </w:tr>
      <w:tr w:rsidR="00C50502" w14:paraId="01F87279" w14:textId="3D454F18" w:rsidTr="00C50502">
        <w:trPr>
          <w:trHeight w:val="584"/>
        </w:trPr>
        <w:tc>
          <w:tcPr>
            <w:tcW w:w="33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1BE95AD" w14:textId="77777777" w:rsidR="00C50502" w:rsidRDefault="00C50502">
            <w:pPr>
              <w:spacing w:line="256" w:lineRule="auto"/>
              <w:rPr>
                <w:rFonts w:cs="Arial"/>
                <w:sz w:val="36"/>
                <w:szCs w:val="36"/>
                <w:lang w:eastAsia="en-GB"/>
              </w:rPr>
            </w:pPr>
            <w:r>
              <w:rPr>
                <w:rFonts w:cs="Arial"/>
                <w:color w:val="000000" w:themeColor="text1"/>
                <w:kern w:val="24"/>
                <w:lang w:eastAsia="en-GB"/>
              </w:rPr>
              <w:t>Average Gender Pay Gap- MEAN</w:t>
            </w:r>
          </w:p>
        </w:tc>
        <w:tc>
          <w:tcPr>
            <w:tcW w:w="951" w:type="dxa"/>
            <w:tcBorders>
              <w:top w:val="single" w:sz="24" w:space="0" w:color="FFFFFF"/>
              <w:left w:val="single" w:sz="8" w:space="0" w:color="FFFFFF"/>
              <w:bottom w:val="single" w:sz="8" w:space="0" w:color="FFFFFF"/>
              <w:right w:val="single" w:sz="8" w:space="0" w:color="FFFFFF"/>
            </w:tcBorders>
            <w:shd w:val="clear" w:color="auto" w:fill="D0D8E8"/>
          </w:tcPr>
          <w:p w14:paraId="65B0BBB7" w14:textId="79B4C841" w:rsidR="00C50502" w:rsidRDefault="00C50502" w:rsidP="00BA36E0">
            <w:pPr>
              <w:spacing w:line="256" w:lineRule="auto"/>
              <w:jc w:val="center"/>
              <w:rPr>
                <w:rFonts w:cs="Arial"/>
                <w:color w:val="000000" w:themeColor="dark1"/>
                <w:kern w:val="24"/>
                <w:lang w:eastAsia="en-GB"/>
              </w:rPr>
            </w:pPr>
            <w:r>
              <w:rPr>
                <w:rFonts w:cs="Arial"/>
                <w:color w:val="000000" w:themeColor="dark1"/>
                <w:kern w:val="24"/>
                <w:lang w:eastAsia="en-GB"/>
              </w:rPr>
              <w:t>11.3%</w:t>
            </w:r>
          </w:p>
        </w:tc>
        <w:tc>
          <w:tcPr>
            <w:tcW w:w="12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780AE12" w14:textId="64E1A039" w:rsidR="00C50502" w:rsidRPr="00BA36E0" w:rsidRDefault="00C50502" w:rsidP="00BA36E0">
            <w:pPr>
              <w:spacing w:line="256" w:lineRule="auto"/>
              <w:jc w:val="center"/>
              <w:rPr>
                <w:rFonts w:cs="Arial"/>
                <w:lang w:eastAsia="en-GB"/>
              </w:rPr>
            </w:pPr>
            <w:r>
              <w:rPr>
                <w:rFonts w:cs="Arial"/>
                <w:lang w:eastAsia="en-GB"/>
              </w:rPr>
              <w:t>11.5%</w:t>
            </w:r>
          </w:p>
        </w:tc>
        <w:tc>
          <w:tcPr>
            <w:tcW w:w="97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EA2A010" w14:textId="708761CE" w:rsidR="00C50502" w:rsidRDefault="00C50502">
            <w:pPr>
              <w:spacing w:line="256" w:lineRule="auto"/>
              <w:rPr>
                <w:rFonts w:cs="Arial"/>
                <w:sz w:val="36"/>
                <w:szCs w:val="36"/>
                <w:lang w:eastAsia="en-GB"/>
              </w:rPr>
            </w:pPr>
            <w:r>
              <w:rPr>
                <w:rFonts w:cs="Arial"/>
                <w:color w:val="000000" w:themeColor="dark1"/>
                <w:kern w:val="24"/>
                <w:lang w:eastAsia="en-GB"/>
              </w:rPr>
              <w:t>11.4%</w:t>
            </w:r>
          </w:p>
        </w:tc>
        <w:tc>
          <w:tcPr>
            <w:tcW w:w="1081" w:type="dxa"/>
            <w:tcBorders>
              <w:top w:val="single" w:sz="24" w:space="0" w:color="FFFFFF"/>
              <w:left w:val="single" w:sz="8" w:space="0" w:color="FFFFFF"/>
              <w:bottom w:val="single" w:sz="8" w:space="0" w:color="FFFFFF"/>
              <w:right w:val="single" w:sz="8" w:space="0" w:color="FFFFFF"/>
            </w:tcBorders>
            <w:shd w:val="clear" w:color="auto" w:fill="D0D8E8"/>
            <w:hideMark/>
          </w:tcPr>
          <w:p w14:paraId="6FE36722" w14:textId="1295C13F" w:rsidR="00C50502" w:rsidRDefault="00C50502" w:rsidP="00E948E0">
            <w:pPr>
              <w:spacing w:line="256" w:lineRule="auto"/>
              <w:jc w:val="center"/>
              <w:rPr>
                <w:rFonts w:cs="Arial"/>
                <w:color w:val="000000" w:themeColor="dark1"/>
                <w:kern w:val="24"/>
                <w:sz w:val="24"/>
                <w:szCs w:val="24"/>
                <w:lang w:eastAsia="en-GB"/>
              </w:rPr>
            </w:pPr>
            <w:r>
              <w:rPr>
                <w:rFonts w:cs="Arial"/>
                <w:color w:val="000000" w:themeColor="dark1"/>
                <w:kern w:val="24"/>
                <w:lang w:eastAsia="en-GB"/>
              </w:rPr>
              <w:t>10.9%</w:t>
            </w:r>
          </w:p>
        </w:tc>
        <w:tc>
          <w:tcPr>
            <w:tcW w:w="1031" w:type="dxa"/>
            <w:tcBorders>
              <w:top w:val="single" w:sz="24" w:space="0" w:color="FFFFFF"/>
              <w:left w:val="single" w:sz="8" w:space="0" w:color="FFFFFF"/>
              <w:bottom w:val="single" w:sz="8" w:space="0" w:color="FFFFFF"/>
              <w:right w:val="single" w:sz="8" w:space="0" w:color="FFFFFF"/>
            </w:tcBorders>
            <w:shd w:val="clear" w:color="auto" w:fill="D0D8E8"/>
          </w:tcPr>
          <w:p w14:paraId="26F80EA2" w14:textId="2E41F176" w:rsidR="00C50502" w:rsidRDefault="00C50502" w:rsidP="00E948E0">
            <w:pPr>
              <w:spacing w:line="256" w:lineRule="auto"/>
              <w:jc w:val="center"/>
              <w:rPr>
                <w:rFonts w:cs="Arial"/>
                <w:color w:val="000000" w:themeColor="dark1"/>
                <w:kern w:val="24"/>
                <w:lang w:eastAsia="en-GB"/>
              </w:rPr>
            </w:pPr>
            <w:r>
              <w:rPr>
                <w:rFonts w:cs="Arial"/>
                <w:color w:val="000000" w:themeColor="dark1"/>
                <w:kern w:val="24"/>
                <w:lang w:eastAsia="en-GB"/>
              </w:rPr>
              <w:t>10.3%</w:t>
            </w:r>
          </w:p>
        </w:tc>
      </w:tr>
      <w:tr w:rsidR="00C50502" w14:paraId="738C4499" w14:textId="15561833" w:rsidTr="00C50502">
        <w:trPr>
          <w:trHeight w:val="662"/>
        </w:trPr>
        <w:tc>
          <w:tcPr>
            <w:tcW w:w="33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34C4DD2" w14:textId="77777777" w:rsidR="00C50502" w:rsidRDefault="00C50502">
            <w:pPr>
              <w:spacing w:line="256" w:lineRule="auto"/>
              <w:rPr>
                <w:rFonts w:cs="Arial"/>
                <w:sz w:val="36"/>
                <w:szCs w:val="36"/>
                <w:lang w:eastAsia="en-GB"/>
              </w:rPr>
            </w:pPr>
            <w:r>
              <w:rPr>
                <w:rFonts w:cs="Arial"/>
                <w:color w:val="000000" w:themeColor="dark1"/>
                <w:kern w:val="24"/>
                <w:lang w:eastAsia="en-GB"/>
              </w:rPr>
              <w:t>Average Gender Pay Gap- MEDIAN</w:t>
            </w:r>
          </w:p>
        </w:tc>
        <w:tc>
          <w:tcPr>
            <w:tcW w:w="951" w:type="dxa"/>
            <w:tcBorders>
              <w:top w:val="single" w:sz="8" w:space="0" w:color="FFFFFF"/>
              <w:left w:val="single" w:sz="8" w:space="0" w:color="FFFFFF"/>
              <w:bottom w:val="single" w:sz="8" w:space="0" w:color="FFFFFF"/>
              <w:right w:val="single" w:sz="8" w:space="0" w:color="FFFFFF"/>
            </w:tcBorders>
            <w:shd w:val="clear" w:color="auto" w:fill="E9EDF4"/>
          </w:tcPr>
          <w:p w14:paraId="4D0C98A3" w14:textId="7178CDAF" w:rsidR="00C50502" w:rsidRDefault="00C50502" w:rsidP="00BA36E0">
            <w:pPr>
              <w:spacing w:line="256" w:lineRule="auto"/>
              <w:jc w:val="center"/>
              <w:rPr>
                <w:rFonts w:cs="Arial"/>
                <w:color w:val="000000" w:themeColor="dark1"/>
                <w:kern w:val="24"/>
                <w:lang w:eastAsia="en-GB"/>
              </w:rPr>
            </w:pPr>
            <w:r>
              <w:rPr>
                <w:rFonts w:cs="Arial"/>
                <w:color w:val="000000" w:themeColor="dark1"/>
                <w:kern w:val="24"/>
                <w:lang w:eastAsia="en-GB"/>
              </w:rPr>
              <w:t>2.4%</w:t>
            </w:r>
          </w:p>
        </w:tc>
        <w:tc>
          <w:tcPr>
            <w:tcW w:w="12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1523E2C" w14:textId="2469399F" w:rsidR="00C50502" w:rsidRDefault="00C50502">
            <w:pPr>
              <w:spacing w:line="256" w:lineRule="auto"/>
              <w:rPr>
                <w:rFonts w:cs="Arial"/>
                <w:sz w:val="36"/>
                <w:szCs w:val="36"/>
                <w:lang w:eastAsia="en-GB"/>
              </w:rPr>
            </w:pPr>
            <w:r>
              <w:rPr>
                <w:rFonts w:cs="Arial"/>
                <w:color w:val="000000" w:themeColor="dark1"/>
                <w:kern w:val="24"/>
                <w:lang w:eastAsia="en-GB"/>
              </w:rPr>
              <w:t>4.4%</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B27D00A" w14:textId="268DD993" w:rsidR="00C50502" w:rsidRDefault="00C50502">
            <w:pPr>
              <w:spacing w:line="256" w:lineRule="auto"/>
              <w:rPr>
                <w:rFonts w:cs="Arial"/>
                <w:sz w:val="36"/>
                <w:szCs w:val="36"/>
                <w:lang w:eastAsia="en-GB"/>
              </w:rPr>
            </w:pPr>
            <w:r>
              <w:rPr>
                <w:rFonts w:cs="Arial"/>
                <w:color w:val="000000" w:themeColor="dark1"/>
                <w:kern w:val="24"/>
                <w:lang w:eastAsia="en-GB"/>
              </w:rPr>
              <w:t>5.9%</w:t>
            </w:r>
          </w:p>
        </w:tc>
        <w:tc>
          <w:tcPr>
            <w:tcW w:w="1081" w:type="dxa"/>
            <w:tcBorders>
              <w:top w:val="single" w:sz="8" w:space="0" w:color="FFFFFF"/>
              <w:left w:val="single" w:sz="8" w:space="0" w:color="FFFFFF"/>
              <w:bottom w:val="single" w:sz="8" w:space="0" w:color="FFFFFF"/>
              <w:right w:val="single" w:sz="8" w:space="0" w:color="FFFFFF"/>
            </w:tcBorders>
            <w:shd w:val="clear" w:color="auto" w:fill="E9EDF4"/>
            <w:hideMark/>
          </w:tcPr>
          <w:p w14:paraId="6164CFFF" w14:textId="591CF664" w:rsidR="00C50502" w:rsidRDefault="00C50502" w:rsidP="00E948E0">
            <w:pPr>
              <w:spacing w:line="256" w:lineRule="auto"/>
              <w:jc w:val="center"/>
              <w:rPr>
                <w:rFonts w:cs="Arial"/>
                <w:color w:val="000000" w:themeColor="dark1"/>
                <w:kern w:val="24"/>
                <w:sz w:val="24"/>
                <w:szCs w:val="24"/>
                <w:lang w:eastAsia="en-GB"/>
              </w:rPr>
            </w:pPr>
            <w:r>
              <w:rPr>
                <w:rFonts w:cs="Arial"/>
                <w:color w:val="000000" w:themeColor="dark1"/>
                <w:kern w:val="24"/>
                <w:lang w:eastAsia="en-GB"/>
              </w:rPr>
              <w:t>5.3%</w:t>
            </w:r>
          </w:p>
        </w:tc>
        <w:tc>
          <w:tcPr>
            <w:tcW w:w="1031" w:type="dxa"/>
            <w:tcBorders>
              <w:top w:val="single" w:sz="8" w:space="0" w:color="FFFFFF"/>
              <w:left w:val="single" w:sz="8" w:space="0" w:color="FFFFFF"/>
              <w:bottom w:val="single" w:sz="8" w:space="0" w:color="FFFFFF"/>
              <w:right w:val="single" w:sz="8" w:space="0" w:color="FFFFFF"/>
            </w:tcBorders>
            <w:shd w:val="clear" w:color="auto" w:fill="E9EDF4"/>
          </w:tcPr>
          <w:p w14:paraId="22EB0A9C" w14:textId="234F3569" w:rsidR="00C50502" w:rsidRDefault="00C50502" w:rsidP="00E948E0">
            <w:pPr>
              <w:spacing w:line="256" w:lineRule="auto"/>
              <w:jc w:val="center"/>
              <w:rPr>
                <w:rFonts w:cs="Arial"/>
                <w:color w:val="000000" w:themeColor="dark1"/>
                <w:kern w:val="24"/>
                <w:lang w:eastAsia="en-GB"/>
              </w:rPr>
            </w:pPr>
            <w:r>
              <w:rPr>
                <w:rFonts w:cs="Arial"/>
                <w:color w:val="000000" w:themeColor="dark1"/>
                <w:kern w:val="24"/>
                <w:lang w:eastAsia="en-GB"/>
              </w:rPr>
              <w:t>3.1%</w:t>
            </w:r>
          </w:p>
        </w:tc>
      </w:tr>
    </w:tbl>
    <w:p w14:paraId="2DC1C9EE" w14:textId="77777777" w:rsidR="00B91198" w:rsidRPr="00B91198" w:rsidRDefault="00B91198">
      <w:pPr>
        <w:rPr>
          <w:rFonts w:ascii="Arial" w:hAnsi="Arial" w:cs="Arial"/>
        </w:rPr>
      </w:pPr>
    </w:p>
    <w:tbl>
      <w:tblPr>
        <w:tblW w:w="8556" w:type="dxa"/>
        <w:tblInd w:w="450" w:type="dxa"/>
        <w:tblCellMar>
          <w:left w:w="0" w:type="dxa"/>
          <w:right w:w="0" w:type="dxa"/>
        </w:tblCellMar>
        <w:tblLook w:val="0420" w:firstRow="1" w:lastRow="0" w:firstColumn="0" w:lastColumn="0" w:noHBand="0" w:noVBand="1"/>
      </w:tblPr>
      <w:tblGrid>
        <w:gridCol w:w="3303"/>
        <w:gridCol w:w="884"/>
        <w:gridCol w:w="1271"/>
        <w:gridCol w:w="850"/>
        <w:gridCol w:w="1127"/>
        <w:gridCol w:w="1121"/>
      </w:tblGrid>
      <w:tr w:rsidR="00C50502" w14:paraId="7CB604D7" w14:textId="2DA021F9" w:rsidTr="00C50502">
        <w:trPr>
          <w:trHeight w:val="584"/>
        </w:trPr>
        <w:tc>
          <w:tcPr>
            <w:tcW w:w="330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2C698B8" w14:textId="77777777" w:rsidR="00C50502" w:rsidRDefault="00C50502">
            <w:pPr>
              <w:spacing w:line="256" w:lineRule="auto"/>
              <w:rPr>
                <w:rFonts w:cs="Arial"/>
                <w:sz w:val="36"/>
                <w:szCs w:val="36"/>
                <w:lang w:eastAsia="en-GB"/>
              </w:rPr>
            </w:pPr>
            <w:r>
              <w:rPr>
                <w:rFonts w:cs="Arial"/>
                <w:b/>
                <w:bCs/>
                <w:color w:val="FFFFFF" w:themeColor="light1"/>
                <w:kern w:val="24"/>
                <w:lang w:eastAsia="en-GB"/>
              </w:rPr>
              <w:t>Results</w:t>
            </w:r>
          </w:p>
        </w:tc>
        <w:tc>
          <w:tcPr>
            <w:tcW w:w="884" w:type="dxa"/>
            <w:tcBorders>
              <w:top w:val="single" w:sz="8" w:space="0" w:color="FFFFFF"/>
              <w:left w:val="single" w:sz="8" w:space="0" w:color="FFFFFF"/>
              <w:bottom w:val="single" w:sz="24" w:space="0" w:color="FFFFFF"/>
              <w:right w:val="single" w:sz="8" w:space="0" w:color="FFFFFF"/>
            </w:tcBorders>
            <w:shd w:val="clear" w:color="auto" w:fill="4F81BD"/>
          </w:tcPr>
          <w:p w14:paraId="222E9757" w14:textId="701F5BA4" w:rsidR="00C50502" w:rsidRPr="00E948E0" w:rsidRDefault="00C50502">
            <w:pPr>
              <w:spacing w:line="256" w:lineRule="auto"/>
              <w:jc w:val="center"/>
              <w:rPr>
                <w:rFonts w:cs="Arial"/>
                <w:b/>
                <w:bCs/>
                <w:color w:val="FFFFFF" w:themeColor="background1"/>
                <w:lang w:eastAsia="en-GB"/>
              </w:rPr>
            </w:pPr>
            <w:r>
              <w:rPr>
                <w:rFonts w:cs="Arial"/>
                <w:b/>
                <w:bCs/>
                <w:color w:val="FFFFFF" w:themeColor="background1"/>
                <w:lang w:eastAsia="en-GB"/>
              </w:rPr>
              <w:t>2018</w:t>
            </w:r>
          </w:p>
        </w:tc>
        <w:tc>
          <w:tcPr>
            <w:tcW w:w="12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7DD84D6" w14:textId="572ADB5E" w:rsidR="00C50502" w:rsidRPr="00E948E0" w:rsidRDefault="00C50502">
            <w:pPr>
              <w:spacing w:line="256" w:lineRule="auto"/>
              <w:jc w:val="center"/>
              <w:rPr>
                <w:rFonts w:cs="Arial"/>
                <w:b/>
                <w:bCs/>
                <w:color w:val="FFFFFF" w:themeColor="background1"/>
                <w:lang w:eastAsia="en-GB"/>
              </w:rPr>
            </w:pPr>
            <w:r w:rsidRPr="00E948E0">
              <w:rPr>
                <w:rFonts w:cs="Arial"/>
                <w:b/>
                <w:bCs/>
                <w:color w:val="FFFFFF" w:themeColor="background1"/>
                <w:lang w:eastAsia="en-GB"/>
              </w:rPr>
              <w:t>2019</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83DF636" w14:textId="77777777" w:rsidR="00C50502" w:rsidRDefault="00C50502">
            <w:pPr>
              <w:spacing w:line="256" w:lineRule="auto"/>
              <w:jc w:val="center"/>
              <w:rPr>
                <w:rFonts w:cs="Arial"/>
                <w:sz w:val="36"/>
                <w:szCs w:val="36"/>
                <w:lang w:eastAsia="en-GB"/>
              </w:rPr>
            </w:pPr>
            <w:r>
              <w:rPr>
                <w:rFonts w:cs="Arial"/>
                <w:b/>
                <w:bCs/>
                <w:color w:val="FFFFFF" w:themeColor="light1"/>
                <w:kern w:val="24"/>
                <w:lang w:eastAsia="en-GB"/>
              </w:rPr>
              <w:t>2021</w:t>
            </w:r>
          </w:p>
        </w:tc>
        <w:tc>
          <w:tcPr>
            <w:tcW w:w="1127" w:type="dxa"/>
            <w:tcBorders>
              <w:top w:val="single" w:sz="8" w:space="0" w:color="FFFFFF"/>
              <w:left w:val="single" w:sz="8" w:space="0" w:color="FFFFFF"/>
              <w:bottom w:val="single" w:sz="24" w:space="0" w:color="FFFFFF"/>
              <w:right w:val="single" w:sz="8" w:space="0" w:color="FFFFFF"/>
            </w:tcBorders>
            <w:shd w:val="clear" w:color="auto" w:fill="4F81BD"/>
            <w:hideMark/>
          </w:tcPr>
          <w:p w14:paraId="3C1B41BF" w14:textId="77777777" w:rsidR="00C50502" w:rsidRDefault="00C50502">
            <w:pPr>
              <w:spacing w:line="256" w:lineRule="auto"/>
              <w:jc w:val="center"/>
              <w:rPr>
                <w:rFonts w:cs="Arial"/>
                <w:b/>
                <w:bCs/>
                <w:color w:val="FFFFFF" w:themeColor="light1"/>
                <w:kern w:val="24"/>
                <w:sz w:val="24"/>
                <w:szCs w:val="24"/>
                <w:lang w:eastAsia="en-GB"/>
              </w:rPr>
            </w:pPr>
            <w:r>
              <w:rPr>
                <w:rFonts w:cs="Arial"/>
                <w:b/>
                <w:bCs/>
                <w:color w:val="FFFFFF" w:themeColor="light1"/>
                <w:kern w:val="24"/>
                <w:lang w:eastAsia="en-GB"/>
              </w:rPr>
              <w:t>2022</w:t>
            </w:r>
          </w:p>
        </w:tc>
        <w:tc>
          <w:tcPr>
            <w:tcW w:w="1121" w:type="dxa"/>
            <w:tcBorders>
              <w:top w:val="single" w:sz="8" w:space="0" w:color="FFFFFF"/>
              <w:left w:val="single" w:sz="8" w:space="0" w:color="FFFFFF"/>
              <w:bottom w:val="single" w:sz="24" w:space="0" w:color="FFFFFF"/>
              <w:right w:val="single" w:sz="8" w:space="0" w:color="FFFFFF"/>
            </w:tcBorders>
            <w:shd w:val="clear" w:color="auto" w:fill="4F81BD"/>
          </w:tcPr>
          <w:p w14:paraId="7344190F" w14:textId="5112900B" w:rsidR="00C50502" w:rsidRDefault="00C50502">
            <w:pPr>
              <w:spacing w:line="256" w:lineRule="auto"/>
              <w:jc w:val="center"/>
              <w:rPr>
                <w:rFonts w:cs="Arial"/>
                <w:b/>
                <w:bCs/>
                <w:color w:val="FFFFFF" w:themeColor="light1"/>
                <w:kern w:val="24"/>
                <w:lang w:eastAsia="en-GB"/>
              </w:rPr>
            </w:pPr>
            <w:r>
              <w:rPr>
                <w:rFonts w:cs="Arial"/>
                <w:b/>
                <w:bCs/>
                <w:color w:val="FFFFFF" w:themeColor="light1"/>
                <w:kern w:val="24"/>
                <w:lang w:eastAsia="en-GB"/>
              </w:rPr>
              <w:t>2023</w:t>
            </w:r>
          </w:p>
        </w:tc>
      </w:tr>
      <w:tr w:rsidR="00C50502" w14:paraId="37E26893" w14:textId="168238DB" w:rsidTr="00C50502">
        <w:trPr>
          <w:trHeight w:val="584"/>
        </w:trPr>
        <w:tc>
          <w:tcPr>
            <w:tcW w:w="330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DE49EBE" w14:textId="77777777" w:rsidR="00C50502" w:rsidRDefault="00C50502">
            <w:pPr>
              <w:spacing w:line="256" w:lineRule="auto"/>
              <w:rPr>
                <w:rFonts w:cs="Arial"/>
                <w:sz w:val="36"/>
                <w:szCs w:val="36"/>
                <w:lang w:eastAsia="en-GB"/>
              </w:rPr>
            </w:pPr>
            <w:r>
              <w:rPr>
                <w:rFonts w:cs="Arial"/>
                <w:color w:val="000000" w:themeColor="dark1"/>
                <w:kern w:val="24"/>
                <w:lang w:eastAsia="en-GB"/>
              </w:rPr>
              <w:t>Average Bonus Gender Pay Gap- MEAN</w:t>
            </w:r>
          </w:p>
        </w:tc>
        <w:tc>
          <w:tcPr>
            <w:tcW w:w="884" w:type="dxa"/>
            <w:tcBorders>
              <w:top w:val="single" w:sz="24" w:space="0" w:color="FFFFFF"/>
              <w:left w:val="single" w:sz="8" w:space="0" w:color="FFFFFF"/>
              <w:bottom w:val="single" w:sz="8" w:space="0" w:color="FFFFFF"/>
              <w:right w:val="single" w:sz="8" w:space="0" w:color="FFFFFF"/>
            </w:tcBorders>
            <w:shd w:val="clear" w:color="auto" w:fill="D0D8E8"/>
          </w:tcPr>
          <w:p w14:paraId="2F3E78FC" w14:textId="3D150FD0" w:rsidR="00C50502" w:rsidRDefault="00C50502" w:rsidP="00E948E0">
            <w:pPr>
              <w:spacing w:line="256" w:lineRule="auto"/>
              <w:jc w:val="center"/>
              <w:rPr>
                <w:rFonts w:cs="Arial"/>
                <w:color w:val="000000" w:themeColor="dark1"/>
                <w:kern w:val="24"/>
                <w:lang w:eastAsia="en-GB"/>
              </w:rPr>
            </w:pPr>
            <w:r>
              <w:rPr>
                <w:rFonts w:cs="Arial"/>
                <w:color w:val="000000" w:themeColor="dark1"/>
                <w:kern w:val="24"/>
                <w:lang w:eastAsia="en-GB"/>
              </w:rPr>
              <w:t>83.3%</w:t>
            </w:r>
          </w:p>
        </w:tc>
        <w:tc>
          <w:tcPr>
            <w:tcW w:w="12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6AADBED" w14:textId="39D0E967" w:rsidR="00C50502" w:rsidRPr="00E948E0" w:rsidRDefault="00C50502" w:rsidP="00E948E0">
            <w:pPr>
              <w:spacing w:line="256" w:lineRule="auto"/>
              <w:jc w:val="center"/>
              <w:rPr>
                <w:rFonts w:cs="Arial"/>
                <w:lang w:eastAsia="en-GB"/>
              </w:rPr>
            </w:pPr>
            <w:r>
              <w:rPr>
                <w:rFonts w:cs="Arial"/>
                <w:lang w:eastAsia="en-GB"/>
              </w:rPr>
              <w:t>5.5%</w:t>
            </w: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3C40B83" w14:textId="33B9F1B7" w:rsidR="00C50502" w:rsidRPr="00BA36E0" w:rsidRDefault="00C50502" w:rsidP="00BA36E0">
            <w:pPr>
              <w:spacing w:line="256" w:lineRule="auto"/>
              <w:jc w:val="center"/>
              <w:rPr>
                <w:rFonts w:cs="Arial"/>
                <w:lang w:eastAsia="en-GB"/>
              </w:rPr>
            </w:pPr>
            <w:r>
              <w:rPr>
                <w:rFonts w:cs="Arial"/>
                <w:lang w:eastAsia="en-GB"/>
              </w:rPr>
              <w:t>33.0%</w:t>
            </w:r>
          </w:p>
        </w:tc>
        <w:tc>
          <w:tcPr>
            <w:tcW w:w="1127" w:type="dxa"/>
            <w:tcBorders>
              <w:top w:val="single" w:sz="24" w:space="0" w:color="FFFFFF"/>
              <w:left w:val="single" w:sz="8" w:space="0" w:color="FFFFFF"/>
              <w:bottom w:val="single" w:sz="8" w:space="0" w:color="FFFFFF"/>
              <w:right w:val="single" w:sz="8" w:space="0" w:color="FFFFFF"/>
            </w:tcBorders>
            <w:shd w:val="clear" w:color="auto" w:fill="D0D8E8"/>
            <w:hideMark/>
          </w:tcPr>
          <w:p w14:paraId="62FA502B" w14:textId="0CB3BAEE" w:rsidR="00C50502" w:rsidRPr="00BA36E0" w:rsidRDefault="00C50502" w:rsidP="00BA36E0">
            <w:pPr>
              <w:spacing w:line="256" w:lineRule="auto"/>
              <w:jc w:val="center"/>
              <w:rPr>
                <w:rFonts w:cs="Arial"/>
                <w:color w:val="000000" w:themeColor="dark1"/>
                <w:kern w:val="24"/>
                <w:lang w:eastAsia="en-GB"/>
              </w:rPr>
            </w:pPr>
            <w:r w:rsidRPr="00BA36E0">
              <w:rPr>
                <w:rFonts w:cs="Arial"/>
                <w:color w:val="000000" w:themeColor="dark1"/>
                <w:kern w:val="24"/>
                <w:lang w:eastAsia="en-GB"/>
              </w:rPr>
              <w:t>20.3%</w:t>
            </w:r>
          </w:p>
        </w:tc>
        <w:tc>
          <w:tcPr>
            <w:tcW w:w="1121" w:type="dxa"/>
            <w:tcBorders>
              <w:top w:val="single" w:sz="24" w:space="0" w:color="FFFFFF"/>
              <w:left w:val="single" w:sz="8" w:space="0" w:color="FFFFFF"/>
              <w:bottom w:val="single" w:sz="8" w:space="0" w:color="FFFFFF"/>
              <w:right w:val="single" w:sz="8" w:space="0" w:color="FFFFFF"/>
            </w:tcBorders>
            <w:shd w:val="clear" w:color="auto" w:fill="D0D8E8"/>
          </w:tcPr>
          <w:p w14:paraId="1CCBEC52" w14:textId="2DE40ACE" w:rsidR="00C50502" w:rsidRPr="00BA36E0" w:rsidRDefault="00C50502" w:rsidP="00BA36E0">
            <w:pPr>
              <w:spacing w:line="256" w:lineRule="auto"/>
              <w:jc w:val="center"/>
              <w:rPr>
                <w:rFonts w:cs="Arial"/>
                <w:color w:val="000000" w:themeColor="dark1"/>
                <w:kern w:val="24"/>
                <w:lang w:eastAsia="en-GB"/>
              </w:rPr>
            </w:pPr>
            <w:r>
              <w:rPr>
                <w:rFonts w:cs="Arial"/>
                <w:color w:val="000000" w:themeColor="dark1"/>
                <w:kern w:val="24"/>
                <w:lang w:eastAsia="en-GB"/>
              </w:rPr>
              <w:t>15.7%</w:t>
            </w:r>
          </w:p>
        </w:tc>
      </w:tr>
      <w:tr w:rsidR="00C50502" w14:paraId="73310605" w14:textId="5635D98F" w:rsidTr="00C50502">
        <w:trPr>
          <w:trHeight w:val="584"/>
        </w:trPr>
        <w:tc>
          <w:tcPr>
            <w:tcW w:w="330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3D298E9" w14:textId="77777777" w:rsidR="00C50502" w:rsidRDefault="00C50502">
            <w:pPr>
              <w:spacing w:line="256" w:lineRule="auto"/>
              <w:rPr>
                <w:rFonts w:cs="Arial"/>
                <w:sz w:val="36"/>
                <w:szCs w:val="36"/>
                <w:lang w:eastAsia="en-GB"/>
              </w:rPr>
            </w:pPr>
            <w:r>
              <w:rPr>
                <w:rFonts w:cs="Arial"/>
                <w:color w:val="000000" w:themeColor="dark1"/>
                <w:kern w:val="24"/>
                <w:lang w:eastAsia="en-GB"/>
              </w:rPr>
              <w:t>Average Bonus Gender Pay Gap- MEDIAN</w:t>
            </w:r>
          </w:p>
        </w:tc>
        <w:tc>
          <w:tcPr>
            <w:tcW w:w="884" w:type="dxa"/>
            <w:tcBorders>
              <w:top w:val="single" w:sz="8" w:space="0" w:color="FFFFFF"/>
              <w:left w:val="single" w:sz="8" w:space="0" w:color="FFFFFF"/>
              <w:bottom w:val="single" w:sz="8" w:space="0" w:color="FFFFFF"/>
              <w:right w:val="single" w:sz="8" w:space="0" w:color="FFFFFF"/>
            </w:tcBorders>
            <w:shd w:val="clear" w:color="auto" w:fill="E9EDF4"/>
          </w:tcPr>
          <w:p w14:paraId="3DB8F0EA" w14:textId="08B54201" w:rsidR="00C50502" w:rsidRPr="00E948E0" w:rsidRDefault="00C50502" w:rsidP="00E948E0">
            <w:pPr>
              <w:spacing w:line="256" w:lineRule="auto"/>
              <w:jc w:val="center"/>
              <w:rPr>
                <w:rFonts w:cs="Arial"/>
                <w:lang w:eastAsia="en-GB"/>
              </w:rPr>
            </w:pPr>
            <w:r>
              <w:rPr>
                <w:rFonts w:cs="Arial"/>
                <w:lang w:eastAsia="en-GB"/>
              </w:rPr>
              <w:t>3.7%</w:t>
            </w:r>
          </w:p>
        </w:tc>
        <w:tc>
          <w:tcPr>
            <w:tcW w:w="12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140DD63" w14:textId="151ED60C" w:rsidR="00C50502" w:rsidRPr="00E948E0" w:rsidRDefault="00C50502" w:rsidP="00E948E0">
            <w:pPr>
              <w:spacing w:line="256" w:lineRule="auto"/>
              <w:jc w:val="center"/>
              <w:rPr>
                <w:rFonts w:cs="Arial"/>
                <w:lang w:eastAsia="en-GB"/>
              </w:rPr>
            </w:pPr>
            <w:r>
              <w:rPr>
                <w:rFonts w:cs="Arial"/>
                <w:lang w:eastAsia="en-GB"/>
              </w:rPr>
              <w:t>60.2%</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07A0863" w14:textId="15D4C2F7" w:rsidR="00C50502" w:rsidRPr="00BA36E0" w:rsidRDefault="00C50502" w:rsidP="00BA36E0">
            <w:pPr>
              <w:spacing w:line="256" w:lineRule="auto"/>
              <w:jc w:val="center"/>
              <w:rPr>
                <w:rFonts w:cs="Arial"/>
                <w:lang w:eastAsia="en-GB"/>
              </w:rPr>
            </w:pPr>
            <w:r>
              <w:rPr>
                <w:rFonts w:cs="Arial"/>
                <w:lang w:eastAsia="en-GB"/>
              </w:rPr>
              <w:t>66.0%</w:t>
            </w:r>
          </w:p>
        </w:tc>
        <w:tc>
          <w:tcPr>
            <w:tcW w:w="1127" w:type="dxa"/>
            <w:tcBorders>
              <w:top w:val="single" w:sz="8" w:space="0" w:color="FFFFFF"/>
              <w:left w:val="single" w:sz="8" w:space="0" w:color="FFFFFF"/>
              <w:bottom w:val="single" w:sz="8" w:space="0" w:color="FFFFFF"/>
              <w:right w:val="single" w:sz="8" w:space="0" w:color="FFFFFF"/>
            </w:tcBorders>
            <w:shd w:val="clear" w:color="auto" w:fill="E9EDF4"/>
            <w:hideMark/>
          </w:tcPr>
          <w:p w14:paraId="14A0AD9C" w14:textId="0DED1E1E" w:rsidR="00C50502" w:rsidRPr="00BA36E0" w:rsidRDefault="00C50502" w:rsidP="00BA36E0">
            <w:pPr>
              <w:spacing w:line="256" w:lineRule="auto"/>
              <w:jc w:val="center"/>
              <w:rPr>
                <w:rFonts w:cs="Arial"/>
                <w:color w:val="000000" w:themeColor="dark1"/>
                <w:kern w:val="24"/>
                <w:lang w:eastAsia="en-GB"/>
              </w:rPr>
            </w:pPr>
            <w:r>
              <w:rPr>
                <w:rFonts w:cs="Arial"/>
                <w:color w:val="000000" w:themeColor="dark1"/>
                <w:kern w:val="24"/>
                <w:lang w:eastAsia="en-GB"/>
              </w:rPr>
              <w:t>37.5%</w:t>
            </w:r>
          </w:p>
        </w:tc>
        <w:tc>
          <w:tcPr>
            <w:tcW w:w="1121" w:type="dxa"/>
            <w:tcBorders>
              <w:top w:val="single" w:sz="8" w:space="0" w:color="FFFFFF"/>
              <w:left w:val="single" w:sz="8" w:space="0" w:color="FFFFFF"/>
              <w:bottom w:val="single" w:sz="8" w:space="0" w:color="FFFFFF"/>
              <w:right w:val="single" w:sz="8" w:space="0" w:color="FFFFFF"/>
            </w:tcBorders>
            <w:shd w:val="clear" w:color="auto" w:fill="E9EDF4"/>
          </w:tcPr>
          <w:p w14:paraId="6AE81FA2" w14:textId="03682F2A" w:rsidR="00C50502" w:rsidRDefault="00C50502" w:rsidP="00BA36E0">
            <w:pPr>
              <w:spacing w:line="256" w:lineRule="auto"/>
              <w:jc w:val="center"/>
              <w:rPr>
                <w:rFonts w:cs="Arial"/>
                <w:color w:val="000000" w:themeColor="dark1"/>
                <w:kern w:val="24"/>
                <w:lang w:eastAsia="en-GB"/>
              </w:rPr>
            </w:pPr>
            <w:r>
              <w:rPr>
                <w:rFonts w:cs="Arial"/>
                <w:color w:val="000000" w:themeColor="dark1"/>
                <w:kern w:val="24"/>
                <w:lang w:eastAsia="en-GB"/>
              </w:rPr>
              <w:t>36.8%</w:t>
            </w:r>
          </w:p>
        </w:tc>
      </w:tr>
    </w:tbl>
    <w:p w14:paraId="7C1A58C3" w14:textId="77777777" w:rsidR="00B91198" w:rsidRPr="00B91198" w:rsidRDefault="00B91198">
      <w:pPr>
        <w:rPr>
          <w:rFonts w:ascii="Arial" w:hAnsi="Arial" w:cs="Arial"/>
        </w:rPr>
      </w:pPr>
    </w:p>
    <w:sectPr w:rsidR="00B91198" w:rsidRPr="00B91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98"/>
    <w:rsid w:val="000B3FC8"/>
    <w:rsid w:val="001E425C"/>
    <w:rsid w:val="006941F1"/>
    <w:rsid w:val="007467F5"/>
    <w:rsid w:val="007F30FA"/>
    <w:rsid w:val="00A463B9"/>
    <w:rsid w:val="00B635AD"/>
    <w:rsid w:val="00B91198"/>
    <w:rsid w:val="00BA36E0"/>
    <w:rsid w:val="00C50502"/>
    <w:rsid w:val="00E9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DEC4"/>
  <w15:chartTrackingRefBased/>
  <w15:docId w15:val="{B09723B5-18D8-4647-A1E1-E035126D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198"/>
    <w:rPr>
      <w:color w:val="0563C1" w:themeColor="hyperlink"/>
      <w:u w:val="single"/>
    </w:rPr>
  </w:style>
  <w:style w:type="character" w:styleId="UnresolvedMention">
    <w:name w:val="Unresolved Mention"/>
    <w:basedOn w:val="DefaultParagraphFont"/>
    <w:uiPriority w:val="99"/>
    <w:semiHidden/>
    <w:unhideWhenUsed/>
    <w:rsid w:val="00B9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3499">
      <w:bodyDiv w:val="1"/>
      <w:marLeft w:val="0"/>
      <w:marRight w:val="0"/>
      <w:marTop w:val="0"/>
      <w:marBottom w:val="0"/>
      <w:divBdr>
        <w:top w:val="none" w:sz="0" w:space="0" w:color="auto"/>
        <w:left w:val="none" w:sz="0" w:space="0" w:color="auto"/>
        <w:bottom w:val="none" w:sz="0" w:space="0" w:color="auto"/>
        <w:right w:val="none" w:sz="0" w:space="0" w:color="auto"/>
      </w:divBdr>
    </w:div>
    <w:div w:id="6269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s%3A%2F%2Fgender-pay-gap.service.gov.uk%2FViewing%2Fsearch-results&amp;data=04%7C01%7CCommunications%40bdct.nhs.uk%7Cf23a7b703e0c47b75bb208da1173e285%7Cf377edd1c32a465086639fc3ec794b84%7C0%7C0%7C637841486658612942%7CUnknown%7CTWFpbGZsb3d8eyJWIjoiMC4wLjAwMDAiLCJQIjoiV2luMzIiLCJBTiI6Ik1haWwiLCJXVCI6Mn0%3D%7C3000&amp;sdata=bCLRhkxxYqGOo%2Bqe8hYLQnWFdtW%2FliPst1Vu59lzgM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Leeds and York Partnership NHS Foundation Trust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Caroline (LEEDS AND YORK PARTNERSHIP NHS FOUNDATION TRUST)</dc:creator>
  <cp:keywords/>
  <dc:description/>
  <cp:lastModifiedBy>BAMFORD, Caroline (LEEDS AND YORK PARTNERSHIP NHS FOUNDATION TRUST)</cp:lastModifiedBy>
  <cp:revision>2</cp:revision>
  <dcterms:created xsi:type="dcterms:W3CDTF">2023-01-04T12:28:00Z</dcterms:created>
  <dcterms:modified xsi:type="dcterms:W3CDTF">2023-01-04T12:28:00Z</dcterms:modified>
</cp:coreProperties>
</file>